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75CDB" w14:textId="77777777" w:rsidR="00696BA5" w:rsidRPr="00696BA5" w:rsidRDefault="00696BA5" w:rsidP="00696BA5">
      <w:pPr>
        <w:jc w:val="both"/>
        <w:rPr>
          <w:rFonts w:ascii="Times New Roman" w:hAnsi="Times New Roman" w:cs="Times New Roman"/>
          <w:sz w:val="24"/>
          <w:szCs w:val="24"/>
        </w:rPr>
      </w:pPr>
    </w:p>
    <w:p w14:paraId="3CFB18DA" w14:textId="77777777" w:rsidR="00696BA5" w:rsidRPr="00C1258C" w:rsidRDefault="00696BA5" w:rsidP="00696BA5">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szCs w:val="36"/>
        </w:rPr>
      </w:pPr>
      <w:bookmarkStart w:id="0" w:name="_Toc473188411"/>
      <w:r w:rsidRPr="00C1258C">
        <w:rPr>
          <w:rStyle w:val="header1"/>
          <w:szCs w:val="36"/>
        </w:rPr>
        <w:t xml:space="preserve">WARUNKI WYKONANIA I ODBIORU </w:t>
      </w:r>
    </w:p>
    <w:p w14:paraId="07F52EA7" w14:textId="77777777" w:rsidR="00696BA5" w:rsidRPr="00C1258C" w:rsidRDefault="00696BA5" w:rsidP="00696BA5">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szCs w:val="36"/>
        </w:rPr>
      </w:pPr>
      <w:r w:rsidRPr="00C1258C">
        <w:rPr>
          <w:rStyle w:val="header1"/>
          <w:szCs w:val="36"/>
        </w:rPr>
        <w:t>ROBÓT BUDOWLANYCH</w:t>
      </w:r>
    </w:p>
    <w:p w14:paraId="7647D674" w14:textId="77777777" w:rsidR="00696BA5" w:rsidRDefault="00696BA5" w:rsidP="00696BA5">
      <w:pPr>
        <w:jc w:val="both"/>
        <w:rPr>
          <w:rFonts w:ascii="Times New Roman" w:hAnsi="Times New Roman" w:cs="Times New Roman"/>
          <w:sz w:val="24"/>
          <w:szCs w:val="24"/>
        </w:rPr>
      </w:pPr>
    </w:p>
    <w:p w14:paraId="6D383CDD" w14:textId="20EEED81" w:rsidR="00696BA5" w:rsidRDefault="00696BA5" w:rsidP="00696BA5">
      <w:pPr>
        <w:jc w:val="center"/>
        <w:rPr>
          <w:rFonts w:ascii="Times New Roman" w:hAnsi="Times New Roman" w:cs="Times New Roman"/>
          <w:b/>
          <w:bCs/>
          <w:sz w:val="36"/>
          <w:szCs w:val="36"/>
        </w:rPr>
      </w:pPr>
      <w:r w:rsidRPr="00696BA5">
        <w:rPr>
          <w:rFonts w:ascii="Times New Roman" w:hAnsi="Times New Roman" w:cs="Times New Roman"/>
          <w:b/>
          <w:bCs/>
          <w:sz w:val="36"/>
          <w:szCs w:val="36"/>
        </w:rPr>
        <w:t>M.13.03.01</w:t>
      </w:r>
    </w:p>
    <w:p w14:paraId="78002E4F" w14:textId="77777777" w:rsidR="00696BA5" w:rsidRDefault="00696BA5" w:rsidP="00696BA5">
      <w:pPr>
        <w:jc w:val="center"/>
        <w:rPr>
          <w:rFonts w:ascii="Times New Roman" w:hAnsi="Times New Roman" w:cs="Times New Roman"/>
          <w:b/>
          <w:bCs/>
          <w:sz w:val="36"/>
          <w:szCs w:val="36"/>
        </w:rPr>
      </w:pPr>
    </w:p>
    <w:p w14:paraId="50132014" w14:textId="77777777" w:rsidR="00696BA5" w:rsidRDefault="00696BA5" w:rsidP="00696BA5">
      <w:pPr>
        <w:jc w:val="center"/>
        <w:rPr>
          <w:rFonts w:ascii="Times New Roman" w:hAnsi="Times New Roman" w:cs="Times New Roman"/>
          <w:b/>
          <w:bCs/>
          <w:sz w:val="36"/>
          <w:szCs w:val="36"/>
        </w:rPr>
      </w:pPr>
    </w:p>
    <w:p w14:paraId="2A225629" w14:textId="77777777" w:rsidR="00696BA5" w:rsidRDefault="00696BA5" w:rsidP="00696BA5">
      <w:pPr>
        <w:jc w:val="center"/>
        <w:rPr>
          <w:rFonts w:ascii="Times New Roman" w:hAnsi="Times New Roman" w:cs="Times New Roman"/>
          <w:b/>
          <w:bCs/>
          <w:sz w:val="36"/>
          <w:szCs w:val="36"/>
        </w:rPr>
      </w:pPr>
    </w:p>
    <w:p w14:paraId="58204D88" w14:textId="77777777" w:rsidR="00696BA5" w:rsidRDefault="00696BA5" w:rsidP="00696BA5">
      <w:pPr>
        <w:jc w:val="center"/>
        <w:rPr>
          <w:rFonts w:ascii="Times New Roman" w:hAnsi="Times New Roman" w:cs="Times New Roman"/>
          <w:b/>
          <w:bCs/>
          <w:sz w:val="36"/>
          <w:szCs w:val="36"/>
        </w:rPr>
      </w:pPr>
    </w:p>
    <w:p w14:paraId="652B3A83" w14:textId="77777777" w:rsidR="00696BA5" w:rsidRDefault="00696BA5" w:rsidP="00696BA5">
      <w:pPr>
        <w:jc w:val="center"/>
        <w:rPr>
          <w:rFonts w:ascii="Times New Roman" w:hAnsi="Times New Roman" w:cs="Times New Roman"/>
          <w:b/>
          <w:bCs/>
          <w:sz w:val="36"/>
          <w:szCs w:val="36"/>
        </w:rPr>
      </w:pPr>
    </w:p>
    <w:p w14:paraId="6A9D5C36" w14:textId="77777777" w:rsidR="00696BA5" w:rsidRDefault="00696BA5" w:rsidP="00696BA5">
      <w:pPr>
        <w:jc w:val="center"/>
        <w:rPr>
          <w:rFonts w:ascii="Times New Roman" w:hAnsi="Times New Roman" w:cs="Times New Roman"/>
          <w:b/>
          <w:bCs/>
          <w:sz w:val="36"/>
          <w:szCs w:val="36"/>
        </w:rPr>
      </w:pPr>
    </w:p>
    <w:p w14:paraId="184EB142" w14:textId="77777777" w:rsidR="00696BA5" w:rsidRDefault="00696BA5" w:rsidP="00696BA5">
      <w:pPr>
        <w:jc w:val="center"/>
        <w:rPr>
          <w:rFonts w:ascii="Times New Roman" w:hAnsi="Times New Roman" w:cs="Times New Roman"/>
          <w:b/>
          <w:bCs/>
          <w:sz w:val="36"/>
          <w:szCs w:val="36"/>
        </w:rPr>
      </w:pPr>
    </w:p>
    <w:p w14:paraId="0D356528" w14:textId="77777777" w:rsidR="00696BA5" w:rsidRDefault="00696BA5" w:rsidP="00696BA5">
      <w:pPr>
        <w:jc w:val="center"/>
        <w:rPr>
          <w:rFonts w:ascii="Times New Roman" w:hAnsi="Times New Roman" w:cs="Times New Roman"/>
          <w:b/>
          <w:bCs/>
          <w:sz w:val="36"/>
          <w:szCs w:val="36"/>
        </w:rPr>
      </w:pPr>
    </w:p>
    <w:p w14:paraId="5DE64835" w14:textId="77777777" w:rsidR="00696BA5" w:rsidRDefault="00696BA5" w:rsidP="00696BA5">
      <w:pPr>
        <w:jc w:val="center"/>
        <w:rPr>
          <w:rFonts w:ascii="Times New Roman" w:hAnsi="Times New Roman" w:cs="Times New Roman"/>
          <w:b/>
          <w:bCs/>
          <w:sz w:val="36"/>
          <w:szCs w:val="36"/>
        </w:rPr>
      </w:pPr>
    </w:p>
    <w:p w14:paraId="7CE4AF51" w14:textId="77777777" w:rsidR="00696BA5" w:rsidRDefault="00696BA5" w:rsidP="00696BA5">
      <w:pPr>
        <w:jc w:val="center"/>
        <w:rPr>
          <w:rFonts w:ascii="Times New Roman" w:hAnsi="Times New Roman" w:cs="Times New Roman"/>
          <w:b/>
          <w:bCs/>
          <w:sz w:val="36"/>
          <w:szCs w:val="36"/>
        </w:rPr>
      </w:pPr>
    </w:p>
    <w:p w14:paraId="25C5BE64" w14:textId="77777777" w:rsidR="00696BA5" w:rsidRDefault="00696BA5" w:rsidP="00696BA5">
      <w:pPr>
        <w:jc w:val="center"/>
        <w:rPr>
          <w:rFonts w:ascii="Times New Roman" w:hAnsi="Times New Roman" w:cs="Times New Roman"/>
          <w:b/>
          <w:bCs/>
          <w:sz w:val="36"/>
          <w:szCs w:val="36"/>
        </w:rPr>
      </w:pPr>
    </w:p>
    <w:p w14:paraId="79BC1A7C" w14:textId="77777777" w:rsidR="00696BA5" w:rsidRDefault="00696BA5" w:rsidP="00696BA5">
      <w:pPr>
        <w:jc w:val="center"/>
        <w:rPr>
          <w:rFonts w:ascii="Times New Roman" w:hAnsi="Times New Roman" w:cs="Times New Roman"/>
          <w:b/>
          <w:bCs/>
          <w:sz w:val="36"/>
          <w:szCs w:val="36"/>
        </w:rPr>
      </w:pPr>
    </w:p>
    <w:p w14:paraId="7ECC7CCA" w14:textId="77777777" w:rsidR="00696BA5" w:rsidRPr="00696BA5" w:rsidRDefault="00696BA5" w:rsidP="00696BA5">
      <w:pPr>
        <w:jc w:val="center"/>
        <w:rPr>
          <w:rFonts w:ascii="Times New Roman" w:hAnsi="Times New Roman" w:cs="Times New Roman"/>
          <w:b/>
          <w:bCs/>
          <w:sz w:val="36"/>
          <w:szCs w:val="36"/>
        </w:rPr>
      </w:pPr>
    </w:p>
    <w:p w14:paraId="68B2331E" w14:textId="6925E111" w:rsidR="00696BA5" w:rsidRPr="00696BA5" w:rsidRDefault="00696BA5" w:rsidP="00696BA5">
      <w:pPr>
        <w:jc w:val="center"/>
        <w:rPr>
          <w:rFonts w:ascii="Times New Roman" w:hAnsi="Times New Roman" w:cs="Times New Roman"/>
          <w:b/>
          <w:bCs/>
          <w:sz w:val="36"/>
          <w:szCs w:val="36"/>
        </w:rPr>
      </w:pPr>
      <w:r w:rsidRPr="00696BA5">
        <w:rPr>
          <w:rFonts w:ascii="Times New Roman" w:hAnsi="Times New Roman" w:cs="Times New Roman"/>
          <w:b/>
          <w:bCs/>
          <w:sz w:val="36"/>
          <w:szCs w:val="36"/>
        </w:rPr>
        <w:t xml:space="preserve">PRAFABRYKOWANE  DESKI  GZYMSOWE </w:t>
      </w:r>
      <w:r w:rsidRPr="00696BA5">
        <w:rPr>
          <w:rFonts w:ascii="Times New Roman" w:hAnsi="Times New Roman" w:cs="Times New Roman"/>
          <w:b/>
          <w:bCs/>
          <w:sz w:val="36"/>
          <w:szCs w:val="36"/>
        </w:rPr>
        <w:br/>
        <w:t>Z POLIMEROBETONU</w:t>
      </w:r>
      <w:bookmarkEnd w:id="0"/>
    </w:p>
    <w:p w14:paraId="176005F4" w14:textId="77777777" w:rsidR="00696BA5" w:rsidRPr="00696BA5" w:rsidRDefault="00696BA5" w:rsidP="00696BA5">
      <w:pPr>
        <w:jc w:val="both"/>
        <w:rPr>
          <w:rFonts w:ascii="Times New Roman" w:hAnsi="Times New Roman" w:cs="Times New Roman"/>
          <w:sz w:val="24"/>
          <w:szCs w:val="24"/>
        </w:rPr>
      </w:pPr>
    </w:p>
    <w:p w14:paraId="59D12560" w14:textId="5D8C4452" w:rsidR="00696BA5" w:rsidRPr="00696BA5" w:rsidRDefault="00696BA5" w:rsidP="00696BA5">
      <w:pPr>
        <w:numPr>
          <w:ilvl w:val="0"/>
          <w:numId w:val="1"/>
        </w:numPr>
        <w:jc w:val="both"/>
        <w:rPr>
          <w:rFonts w:ascii="Times New Roman" w:hAnsi="Times New Roman" w:cs="Times New Roman"/>
          <w:b/>
          <w:bCs/>
          <w:sz w:val="24"/>
          <w:szCs w:val="24"/>
        </w:rPr>
      </w:pPr>
      <w:r>
        <w:rPr>
          <w:rFonts w:ascii="Times New Roman" w:hAnsi="Times New Roman" w:cs="Times New Roman"/>
          <w:sz w:val="24"/>
          <w:szCs w:val="24"/>
        </w:rPr>
        <w:br w:type="column"/>
      </w:r>
      <w:r w:rsidRPr="00696BA5">
        <w:rPr>
          <w:rFonts w:ascii="Times New Roman" w:hAnsi="Times New Roman" w:cs="Times New Roman"/>
          <w:b/>
          <w:bCs/>
          <w:sz w:val="24"/>
          <w:szCs w:val="24"/>
        </w:rPr>
        <w:lastRenderedPageBreak/>
        <w:t>WSTĘP</w:t>
      </w:r>
    </w:p>
    <w:p w14:paraId="4793B582" w14:textId="21604A22" w:rsidR="00696BA5" w:rsidRPr="00696BA5" w:rsidRDefault="00696BA5" w:rsidP="00696BA5">
      <w:pPr>
        <w:numPr>
          <w:ilvl w:val="1"/>
          <w:numId w:val="1"/>
        </w:numPr>
        <w:jc w:val="both"/>
        <w:rPr>
          <w:rFonts w:ascii="Times New Roman" w:eastAsia="Arial Unicode MS" w:hAnsi="Times New Roman" w:cs="Times New Roman"/>
          <w:b/>
          <w:bCs/>
          <w:sz w:val="24"/>
          <w:szCs w:val="24"/>
        </w:rPr>
      </w:pPr>
      <w:r w:rsidRPr="00696BA5">
        <w:rPr>
          <w:rFonts w:ascii="Times New Roman" w:hAnsi="Times New Roman" w:cs="Times New Roman"/>
          <w:b/>
          <w:bCs/>
          <w:sz w:val="24"/>
          <w:szCs w:val="24"/>
        </w:rPr>
        <w:t xml:space="preserve"> Przedmiot WWiORB</w:t>
      </w:r>
    </w:p>
    <w:p w14:paraId="08A709B5" w14:textId="6CF08608"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Przedmiotem niniejszych Warunków Wykonania i Odbioru Robót Budowlanych są wytyczne do przygotowania przez Wykonawcę Specyfikacji Technicznych Wykonania i Odbioru Robót Budowlanych dla robót związanych z montażem prefabrykowanych desek gzymsowych na obiektach inżynierskich.</w:t>
      </w:r>
    </w:p>
    <w:p w14:paraId="0B2C1131" w14:textId="77777777" w:rsidR="00696BA5" w:rsidRPr="00696BA5" w:rsidRDefault="00696BA5" w:rsidP="00696BA5">
      <w:pPr>
        <w:jc w:val="both"/>
        <w:rPr>
          <w:rFonts w:ascii="Times New Roman" w:hAnsi="Times New Roman" w:cs="Times New Roman"/>
          <w:sz w:val="24"/>
          <w:szCs w:val="24"/>
        </w:rPr>
      </w:pPr>
    </w:p>
    <w:p w14:paraId="349C2D43" w14:textId="3548E8EF"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Zakres stosowania WWiORB</w:t>
      </w:r>
    </w:p>
    <w:p w14:paraId="079359B2" w14:textId="2CF1F54C"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WWiORB  określają wymagania dla wykonania i odbioru robót budowlanych przewidzianych do wykonania w ramach Umowy a także stanowią materiał pomocniczy do opracowania przez Wykonawcę Specyfikacji Technicznych Wykonania i Odbioru Robót Budowlanych, a zawarte w nich zapisy w zakresie standardu materiałów, wykonania robót i wymaganej ich jakości oraz kontroli jakości robót należy traktować jako minimalne.</w:t>
      </w:r>
    </w:p>
    <w:p w14:paraId="3AE4BF2E" w14:textId="74C1AA82"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Zakres robót objętych WWiORB</w:t>
      </w:r>
    </w:p>
    <w:p w14:paraId="7FD9C77C" w14:textId="476F8516"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Ustalenia zawarte w niniejszej WWiORB dotyczą zasad prowadzenia robót związanych z montażem prefabrykowanych desek gzymsowych na obiektach inżynierskich zgodnie z Programem Funkcjonalno-Użytkowym.</w:t>
      </w:r>
    </w:p>
    <w:p w14:paraId="60C6E08C"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Określenia podstawowe </w:t>
      </w:r>
    </w:p>
    <w:p w14:paraId="12838255" w14:textId="77777777" w:rsid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Określenia podane w niniejszych WWiORB są zgodne z obowiązującymi odpowiednimi normami i WWiORB  D-M.00.00.00 „Wymagania ogólne”.</w:t>
      </w:r>
    </w:p>
    <w:p w14:paraId="6979478D" w14:textId="5A2BB405"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Prefabrykat </w:t>
      </w:r>
      <w:proofErr w:type="spellStart"/>
      <w:r w:rsidRPr="00696BA5">
        <w:rPr>
          <w:rFonts w:ascii="Times New Roman" w:hAnsi="Times New Roman" w:cs="Times New Roman"/>
          <w:sz w:val="24"/>
          <w:szCs w:val="24"/>
        </w:rPr>
        <w:t>polimerobetonowy</w:t>
      </w:r>
      <w:proofErr w:type="spellEnd"/>
      <w:r w:rsidRPr="00696BA5">
        <w:rPr>
          <w:rFonts w:ascii="Times New Roman" w:hAnsi="Times New Roman" w:cs="Times New Roman"/>
          <w:sz w:val="24"/>
          <w:szCs w:val="24"/>
        </w:rPr>
        <w:t xml:space="preserve"> – element z </w:t>
      </w:r>
      <w:proofErr w:type="spellStart"/>
      <w:r w:rsidRPr="00696BA5">
        <w:rPr>
          <w:rFonts w:ascii="Times New Roman" w:hAnsi="Times New Roman" w:cs="Times New Roman"/>
          <w:sz w:val="24"/>
          <w:szCs w:val="24"/>
        </w:rPr>
        <w:t>polimerobetonu</w:t>
      </w:r>
      <w:proofErr w:type="spellEnd"/>
      <w:r w:rsidRPr="00696BA5">
        <w:rPr>
          <w:rFonts w:ascii="Times New Roman" w:hAnsi="Times New Roman" w:cs="Times New Roman"/>
          <w:sz w:val="24"/>
          <w:szCs w:val="24"/>
        </w:rPr>
        <w:t xml:space="preserve"> uzbrojonego stalą nie sprężającą, wykonany w formie, poza miejscem i przed czasem wbudowywania go, bez względu na to, czy został wykonany na placu budowy, czy w wytwórni stałej. </w:t>
      </w:r>
    </w:p>
    <w:p w14:paraId="6CBAD0B3"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Ogólne wymagania dotyczące robót </w:t>
      </w:r>
    </w:p>
    <w:p w14:paraId="59B29BE9" w14:textId="7797E0F4"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Ogólne warunki wykonania robót podano w WWiORB D-M.00.00.00 „Wymagania ogólne”.</w:t>
      </w:r>
    </w:p>
    <w:p w14:paraId="341416B5" w14:textId="77777777" w:rsidR="00696BA5" w:rsidRPr="00696BA5" w:rsidRDefault="00696BA5" w:rsidP="00696BA5">
      <w:pPr>
        <w:numPr>
          <w:ilvl w:val="0"/>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MATERIAŁY </w:t>
      </w:r>
    </w:p>
    <w:p w14:paraId="01B7E829"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Ogólne wymagania dotyczące materiałów </w:t>
      </w:r>
    </w:p>
    <w:p w14:paraId="07522E89" w14:textId="150BFD00"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Ogólne wymagania dotyczące materiałów podano w WWiORB DM-00.00.00 “Wymagania ogólne”.</w:t>
      </w:r>
    </w:p>
    <w:p w14:paraId="76CFF5BE"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Prefabrykaty </w:t>
      </w:r>
    </w:p>
    <w:p w14:paraId="23135ECB"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Należy stosowa prefabrykaty o wymiarach uzgodnionych z  Przedstawicielem Zamawiającego. Powłoka zabezpieczające powinna zapewnić trwałość powłok przy transporcie i montażu. Zabezpieczenie antykorozyjne i powłoką koloru należy wykona na wytwórni w kolorze uzgodnionym z  Przedstawiciel Zamawiającego. </w:t>
      </w:r>
    </w:p>
    <w:p w14:paraId="39286824" w14:textId="77777777" w:rsidR="00696BA5" w:rsidRPr="00696BA5" w:rsidRDefault="00696BA5" w:rsidP="00696BA5">
      <w:pPr>
        <w:jc w:val="both"/>
        <w:rPr>
          <w:rFonts w:ascii="Times New Roman" w:hAnsi="Times New Roman" w:cs="Times New Roman"/>
          <w:sz w:val="24"/>
          <w:szCs w:val="24"/>
        </w:rPr>
      </w:pPr>
    </w:p>
    <w:p w14:paraId="5E2FF11D"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lastRenderedPageBreak/>
        <w:t xml:space="preserve">Prefabrykaty powinny by zbrojone stalą nierdzewną gatunku 1.4301. Prefabrykaty powinny by wykonane z </w:t>
      </w:r>
      <w:proofErr w:type="spellStart"/>
      <w:r w:rsidRPr="00696BA5">
        <w:rPr>
          <w:rFonts w:ascii="Times New Roman" w:hAnsi="Times New Roman" w:cs="Times New Roman"/>
          <w:sz w:val="24"/>
          <w:szCs w:val="24"/>
        </w:rPr>
        <w:t>polimerobetonu</w:t>
      </w:r>
      <w:proofErr w:type="spellEnd"/>
      <w:r w:rsidRPr="00696BA5">
        <w:rPr>
          <w:rFonts w:ascii="Times New Roman" w:hAnsi="Times New Roman" w:cs="Times New Roman"/>
          <w:sz w:val="24"/>
          <w:szCs w:val="24"/>
        </w:rPr>
        <w:t>.</w:t>
      </w:r>
    </w:p>
    <w:p w14:paraId="7041BCAD" w14:textId="77777777" w:rsidR="00696BA5" w:rsidRPr="00696BA5" w:rsidRDefault="00696BA5" w:rsidP="00696BA5">
      <w:pPr>
        <w:jc w:val="both"/>
        <w:rPr>
          <w:rFonts w:ascii="Times New Roman" w:hAnsi="Times New Roman" w:cs="Times New Roman"/>
          <w:sz w:val="24"/>
          <w:szCs w:val="24"/>
        </w:rPr>
      </w:pPr>
    </w:p>
    <w:p w14:paraId="24F01C34"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Wymagania odnośnie </w:t>
      </w:r>
      <w:proofErr w:type="spellStart"/>
      <w:r w:rsidRPr="00696BA5">
        <w:rPr>
          <w:rFonts w:ascii="Times New Roman" w:hAnsi="Times New Roman" w:cs="Times New Roman"/>
          <w:sz w:val="24"/>
          <w:szCs w:val="24"/>
        </w:rPr>
        <w:t>polimerobetonu</w:t>
      </w:r>
      <w:proofErr w:type="spellEnd"/>
      <w:r w:rsidRPr="00696BA5">
        <w:rPr>
          <w:rFonts w:ascii="Times New Roman" w:hAnsi="Times New Roman" w:cs="Times New Roman"/>
          <w:sz w:val="24"/>
          <w:szCs w:val="24"/>
        </w:rPr>
        <w:t xml:space="preserve">: </w:t>
      </w:r>
    </w:p>
    <w:p w14:paraId="2A76CB56" w14:textId="77777777" w:rsidR="00696BA5" w:rsidRPr="00696BA5" w:rsidRDefault="00696BA5" w:rsidP="00696BA5">
      <w:pPr>
        <w:numPr>
          <w:ilvl w:val="0"/>
          <w:numId w:val="2"/>
        </w:numPr>
        <w:jc w:val="both"/>
        <w:rPr>
          <w:rFonts w:ascii="Times New Roman" w:hAnsi="Times New Roman" w:cs="Times New Roman"/>
          <w:sz w:val="24"/>
          <w:szCs w:val="24"/>
        </w:rPr>
      </w:pPr>
      <w:r w:rsidRPr="00696BA5">
        <w:rPr>
          <w:rFonts w:ascii="Times New Roman" w:hAnsi="Times New Roman" w:cs="Times New Roman"/>
          <w:sz w:val="24"/>
          <w:szCs w:val="24"/>
        </w:rPr>
        <w:t xml:space="preserve">wytrzymałość gwarantowana na ściskanie - 80 </w:t>
      </w:r>
      <w:proofErr w:type="spellStart"/>
      <w:r w:rsidRPr="00696BA5">
        <w:rPr>
          <w:rFonts w:ascii="Times New Roman" w:hAnsi="Times New Roman" w:cs="Times New Roman"/>
          <w:sz w:val="24"/>
          <w:szCs w:val="24"/>
        </w:rPr>
        <w:t>MPa</w:t>
      </w:r>
      <w:proofErr w:type="spellEnd"/>
      <w:r w:rsidRPr="00696BA5">
        <w:rPr>
          <w:rFonts w:ascii="Times New Roman" w:hAnsi="Times New Roman" w:cs="Times New Roman"/>
          <w:sz w:val="24"/>
          <w:szCs w:val="24"/>
        </w:rPr>
        <w:t xml:space="preserve"> wg .Instrukcji ITB nr 194 </w:t>
      </w:r>
    </w:p>
    <w:p w14:paraId="2A6370EB" w14:textId="77777777" w:rsidR="00696BA5" w:rsidRPr="00696BA5" w:rsidRDefault="00696BA5" w:rsidP="00696BA5">
      <w:pPr>
        <w:numPr>
          <w:ilvl w:val="0"/>
          <w:numId w:val="2"/>
        </w:numPr>
        <w:jc w:val="both"/>
        <w:rPr>
          <w:rFonts w:ascii="Times New Roman" w:hAnsi="Times New Roman" w:cs="Times New Roman"/>
          <w:sz w:val="24"/>
          <w:szCs w:val="24"/>
        </w:rPr>
      </w:pPr>
      <w:r w:rsidRPr="00696BA5">
        <w:rPr>
          <w:rFonts w:ascii="Times New Roman" w:hAnsi="Times New Roman" w:cs="Times New Roman"/>
          <w:sz w:val="24"/>
          <w:szCs w:val="24"/>
        </w:rPr>
        <w:t xml:space="preserve">wytrzymałość gwarantowana na rozciąganie przy zginaniu - 30 </w:t>
      </w:r>
      <w:proofErr w:type="spellStart"/>
      <w:r w:rsidRPr="00696BA5">
        <w:rPr>
          <w:rFonts w:ascii="Times New Roman" w:hAnsi="Times New Roman" w:cs="Times New Roman"/>
          <w:sz w:val="24"/>
          <w:szCs w:val="24"/>
        </w:rPr>
        <w:t>MPa</w:t>
      </w:r>
      <w:proofErr w:type="spellEnd"/>
      <w:r w:rsidRPr="00696BA5">
        <w:rPr>
          <w:rFonts w:ascii="Times New Roman" w:hAnsi="Times New Roman" w:cs="Times New Roman"/>
          <w:sz w:val="24"/>
          <w:szCs w:val="24"/>
        </w:rPr>
        <w:t xml:space="preserve"> wg. Instrukcji ITB nr 194 </w:t>
      </w:r>
    </w:p>
    <w:p w14:paraId="43EFB692" w14:textId="77777777" w:rsidR="00696BA5" w:rsidRPr="00696BA5" w:rsidRDefault="00696BA5" w:rsidP="00696BA5">
      <w:pPr>
        <w:numPr>
          <w:ilvl w:val="0"/>
          <w:numId w:val="2"/>
        </w:numPr>
        <w:jc w:val="both"/>
        <w:rPr>
          <w:rFonts w:ascii="Times New Roman" w:hAnsi="Times New Roman" w:cs="Times New Roman"/>
          <w:sz w:val="24"/>
          <w:szCs w:val="24"/>
        </w:rPr>
      </w:pPr>
      <w:r w:rsidRPr="00696BA5">
        <w:rPr>
          <w:rFonts w:ascii="Times New Roman" w:hAnsi="Times New Roman" w:cs="Times New Roman"/>
          <w:sz w:val="24"/>
          <w:szCs w:val="24"/>
        </w:rPr>
        <w:t xml:space="preserve">nasiąkliwość – nie więcej ni 0.25% wg PN-85/B-04101 </w:t>
      </w:r>
    </w:p>
    <w:p w14:paraId="5E3BD8A7" w14:textId="77777777" w:rsidR="00696BA5" w:rsidRPr="00696BA5" w:rsidRDefault="00696BA5" w:rsidP="00696BA5">
      <w:pPr>
        <w:numPr>
          <w:ilvl w:val="0"/>
          <w:numId w:val="2"/>
        </w:numPr>
        <w:jc w:val="both"/>
        <w:rPr>
          <w:rFonts w:ascii="Times New Roman" w:hAnsi="Times New Roman" w:cs="Times New Roman"/>
          <w:sz w:val="24"/>
          <w:szCs w:val="24"/>
        </w:rPr>
      </w:pPr>
      <w:r w:rsidRPr="00696BA5">
        <w:rPr>
          <w:rFonts w:ascii="Times New Roman" w:hAnsi="Times New Roman" w:cs="Times New Roman"/>
          <w:sz w:val="24"/>
          <w:szCs w:val="24"/>
        </w:rPr>
        <w:t xml:space="preserve">stopień mrozoodporności F150 wg PN-88/B-06250 </w:t>
      </w:r>
    </w:p>
    <w:p w14:paraId="38F361CD"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Prefabrykaty powinny by wykonywane w wytwórni. Formy stosowane do produkcji elementów prefabrykowanych mogą by wykonane z dowolnych materiałów, ale dokładność wykonania formy i jej wytrzymałość muszą zapewnia zachowanie kształtu elementów zgodnie z Dokumentacją Projektową oraz zachowanie tolerancji wykonania wg punkt. 6. </w:t>
      </w:r>
    </w:p>
    <w:p w14:paraId="6BFBB4DC"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Zacieranie elementów po ich wyjęciu z formy jest niedopuszczalne. Krawędzie elementów powinny by bez szczerb. </w:t>
      </w:r>
    </w:p>
    <w:p w14:paraId="32564F63"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Dopuszczalne wady i uszkodzenia prefabrykatu: </w:t>
      </w:r>
    </w:p>
    <w:p w14:paraId="34305F5C" w14:textId="77777777" w:rsidR="00696BA5" w:rsidRPr="00696BA5" w:rsidRDefault="00696BA5" w:rsidP="00696BA5">
      <w:pPr>
        <w:numPr>
          <w:ilvl w:val="0"/>
          <w:numId w:val="3"/>
        </w:numPr>
        <w:jc w:val="both"/>
        <w:rPr>
          <w:rFonts w:ascii="Times New Roman" w:hAnsi="Times New Roman" w:cs="Times New Roman"/>
          <w:sz w:val="24"/>
          <w:szCs w:val="24"/>
        </w:rPr>
      </w:pPr>
      <w:r w:rsidRPr="00696BA5">
        <w:rPr>
          <w:rFonts w:ascii="Times New Roman" w:hAnsi="Times New Roman" w:cs="Times New Roman"/>
          <w:sz w:val="24"/>
          <w:szCs w:val="24"/>
        </w:rPr>
        <w:t xml:space="preserve">rysy otwarte lub pęknięcia niedopuszczalne </w:t>
      </w:r>
    </w:p>
    <w:p w14:paraId="3EC71075" w14:textId="77777777" w:rsidR="00696BA5" w:rsidRPr="00696BA5" w:rsidRDefault="00696BA5" w:rsidP="00696BA5">
      <w:pPr>
        <w:numPr>
          <w:ilvl w:val="0"/>
          <w:numId w:val="3"/>
        </w:numPr>
        <w:jc w:val="both"/>
        <w:rPr>
          <w:rFonts w:ascii="Times New Roman" w:hAnsi="Times New Roman" w:cs="Times New Roman"/>
          <w:sz w:val="24"/>
          <w:szCs w:val="24"/>
        </w:rPr>
      </w:pPr>
      <w:r w:rsidRPr="00696BA5">
        <w:rPr>
          <w:rFonts w:ascii="Times New Roman" w:hAnsi="Times New Roman" w:cs="Times New Roman"/>
          <w:sz w:val="24"/>
          <w:szCs w:val="24"/>
        </w:rPr>
        <w:t xml:space="preserve">rysy włoskowate (skurczowe, do 0,1mm rozwartości): </w:t>
      </w:r>
    </w:p>
    <w:p w14:paraId="75CF2FA4" w14:textId="77777777" w:rsidR="00696BA5" w:rsidRPr="00696BA5" w:rsidRDefault="00696BA5" w:rsidP="00696BA5">
      <w:pPr>
        <w:numPr>
          <w:ilvl w:val="0"/>
          <w:numId w:val="3"/>
        </w:numPr>
        <w:jc w:val="both"/>
        <w:rPr>
          <w:rFonts w:ascii="Times New Roman" w:hAnsi="Times New Roman" w:cs="Times New Roman"/>
          <w:sz w:val="24"/>
          <w:szCs w:val="24"/>
        </w:rPr>
      </w:pPr>
      <w:r w:rsidRPr="00696BA5">
        <w:rPr>
          <w:rFonts w:ascii="Times New Roman" w:hAnsi="Times New Roman" w:cs="Times New Roman"/>
          <w:sz w:val="24"/>
          <w:szCs w:val="24"/>
        </w:rPr>
        <w:t xml:space="preserve">poprzeczne na 1/4 długości w 4 miejscach lub1 rysa na całej długości prefabrykatu </w:t>
      </w:r>
    </w:p>
    <w:p w14:paraId="2863B04C" w14:textId="77777777" w:rsidR="00696BA5" w:rsidRPr="00696BA5" w:rsidRDefault="00696BA5" w:rsidP="00696BA5">
      <w:pPr>
        <w:numPr>
          <w:ilvl w:val="0"/>
          <w:numId w:val="3"/>
        </w:numPr>
        <w:jc w:val="both"/>
        <w:rPr>
          <w:rFonts w:ascii="Times New Roman" w:hAnsi="Times New Roman" w:cs="Times New Roman"/>
          <w:sz w:val="24"/>
          <w:szCs w:val="24"/>
        </w:rPr>
      </w:pPr>
      <w:r w:rsidRPr="00696BA5">
        <w:rPr>
          <w:rFonts w:ascii="Times New Roman" w:hAnsi="Times New Roman" w:cs="Times New Roman"/>
          <w:sz w:val="24"/>
          <w:szCs w:val="24"/>
        </w:rPr>
        <w:t xml:space="preserve">podłużne na 1/3 długości w 2 miejscach </w:t>
      </w:r>
    </w:p>
    <w:p w14:paraId="136F280E" w14:textId="77777777" w:rsidR="00696BA5" w:rsidRPr="00696BA5" w:rsidRDefault="00696BA5" w:rsidP="00696BA5">
      <w:pPr>
        <w:numPr>
          <w:ilvl w:val="0"/>
          <w:numId w:val="3"/>
        </w:numPr>
        <w:jc w:val="both"/>
        <w:rPr>
          <w:rFonts w:ascii="Times New Roman" w:hAnsi="Times New Roman" w:cs="Times New Roman"/>
          <w:sz w:val="24"/>
          <w:szCs w:val="24"/>
        </w:rPr>
      </w:pPr>
      <w:r w:rsidRPr="00696BA5">
        <w:rPr>
          <w:rFonts w:ascii="Times New Roman" w:hAnsi="Times New Roman" w:cs="Times New Roman"/>
          <w:sz w:val="24"/>
          <w:szCs w:val="24"/>
        </w:rPr>
        <w:t xml:space="preserve">poprzeczne i podłużne krzyżujące się niedopuszczalne </w:t>
      </w:r>
    </w:p>
    <w:p w14:paraId="2A606FC3" w14:textId="77777777" w:rsidR="00696BA5" w:rsidRPr="00696BA5" w:rsidRDefault="00696BA5" w:rsidP="00696BA5">
      <w:pPr>
        <w:numPr>
          <w:ilvl w:val="0"/>
          <w:numId w:val="3"/>
        </w:numPr>
        <w:jc w:val="both"/>
        <w:rPr>
          <w:rFonts w:ascii="Times New Roman" w:hAnsi="Times New Roman" w:cs="Times New Roman"/>
          <w:sz w:val="24"/>
          <w:szCs w:val="24"/>
        </w:rPr>
      </w:pPr>
      <w:r w:rsidRPr="00696BA5">
        <w:rPr>
          <w:rFonts w:ascii="Times New Roman" w:hAnsi="Times New Roman" w:cs="Times New Roman"/>
          <w:sz w:val="24"/>
          <w:szCs w:val="24"/>
        </w:rPr>
        <w:t xml:space="preserve">skupienie cementu, piasku lub kruszywa w 2 miejscach, o łącznej powierzchni nie większej niż 2% powierzchni </w:t>
      </w:r>
    </w:p>
    <w:p w14:paraId="50AC5B0A" w14:textId="77777777" w:rsidR="00696BA5" w:rsidRPr="00696BA5" w:rsidRDefault="00696BA5" w:rsidP="00696BA5">
      <w:pPr>
        <w:numPr>
          <w:ilvl w:val="0"/>
          <w:numId w:val="3"/>
        </w:numPr>
        <w:jc w:val="both"/>
        <w:rPr>
          <w:rFonts w:ascii="Times New Roman" w:hAnsi="Times New Roman" w:cs="Times New Roman"/>
          <w:sz w:val="24"/>
          <w:szCs w:val="24"/>
        </w:rPr>
      </w:pPr>
      <w:r w:rsidRPr="00696BA5">
        <w:rPr>
          <w:rFonts w:ascii="Times New Roman" w:hAnsi="Times New Roman" w:cs="Times New Roman"/>
          <w:sz w:val="24"/>
          <w:szCs w:val="24"/>
        </w:rPr>
        <w:t xml:space="preserve">ciała obce niedopuszczalne </w:t>
      </w:r>
    </w:p>
    <w:p w14:paraId="7F2D683E" w14:textId="77777777" w:rsidR="00696BA5" w:rsidRPr="00696BA5" w:rsidRDefault="00696BA5" w:rsidP="00696BA5">
      <w:pPr>
        <w:numPr>
          <w:ilvl w:val="0"/>
          <w:numId w:val="3"/>
        </w:numPr>
        <w:jc w:val="both"/>
        <w:rPr>
          <w:rFonts w:ascii="Times New Roman" w:hAnsi="Times New Roman" w:cs="Times New Roman"/>
          <w:sz w:val="24"/>
          <w:szCs w:val="24"/>
        </w:rPr>
      </w:pPr>
      <w:r w:rsidRPr="00696BA5">
        <w:rPr>
          <w:rFonts w:ascii="Times New Roman" w:hAnsi="Times New Roman" w:cs="Times New Roman"/>
          <w:sz w:val="24"/>
          <w:szCs w:val="24"/>
        </w:rPr>
        <w:t xml:space="preserve">odsłonięcia zbrojenia niedopuszczalne </w:t>
      </w:r>
    </w:p>
    <w:p w14:paraId="0C051C05"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Dopuszczalne się drobne pory jako pozostałości po pęcherzykach powietrza i po wodzie, których głębokość nie przekracza 3mm. Dopuszczalne odchylenie osi pręta w przekroju poprzecznym od wymiaru przewidzianego Dokumentacją może wynosi maksimum 5mm. </w:t>
      </w:r>
    </w:p>
    <w:p w14:paraId="3B10AB48" w14:textId="77777777" w:rsidR="00696BA5" w:rsidRPr="00696BA5" w:rsidRDefault="00696BA5" w:rsidP="00696BA5">
      <w:pPr>
        <w:jc w:val="both"/>
        <w:rPr>
          <w:rFonts w:ascii="Times New Roman" w:hAnsi="Times New Roman" w:cs="Times New Roman"/>
          <w:sz w:val="24"/>
          <w:szCs w:val="24"/>
        </w:rPr>
      </w:pPr>
    </w:p>
    <w:p w14:paraId="0987BD3B" w14:textId="77777777" w:rsidR="00696BA5" w:rsidRPr="00696BA5" w:rsidRDefault="00696BA5" w:rsidP="00696BA5">
      <w:pPr>
        <w:numPr>
          <w:ilvl w:val="1"/>
          <w:numId w:val="1"/>
        </w:numPr>
        <w:jc w:val="both"/>
        <w:rPr>
          <w:rFonts w:ascii="Times New Roman" w:hAnsi="Times New Roman" w:cs="Times New Roman"/>
          <w:sz w:val="24"/>
          <w:szCs w:val="24"/>
        </w:rPr>
      </w:pPr>
      <w:r w:rsidRPr="00696BA5">
        <w:rPr>
          <w:rFonts w:ascii="Times New Roman" w:hAnsi="Times New Roman" w:cs="Times New Roman"/>
          <w:sz w:val="24"/>
          <w:szCs w:val="24"/>
        </w:rPr>
        <w:t xml:space="preserve"> Taśma do uszczelniania styku między deską gzymsową i płytę chodnikową </w:t>
      </w:r>
    </w:p>
    <w:p w14:paraId="37732C44"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Do uszczelnienia styku między deską gzymsową i płytą chodnikową należy stosowa zestaw do uszczelniania szczelin dylatacyjnych narażonych na działanie wody. Zestaw uszczelniający powinien składać się z elastycznej taśmy z tworzywa sztucznego oraz zaprawy klejowej do przyklejania taśmy. </w:t>
      </w:r>
    </w:p>
    <w:p w14:paraId="58761082"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Zestaw powinien charakteryzować się: </w:t>
      </w:r>
    </w:p>
    <w:p w14:paraId="446422F8" w14:textId="77777777" w:rsidR="00696BA5" w:rsidRPr="00696BA5" w:rsidRDefault="00696BA5" w:rsidP="00696BA5">
      <w:pPr>
        <w:numPr>
          <w:ilvl w:val="0"/>
          <w:numId w:val="4"/>
        </w:numPr>
        <w:jc w:val="both"/>
        <w:rPr>
          <w:rFonts w:ascii="Times New Roman" w:hAnsi="Times New Roman" w:cs="Times New Roman"/>
          <w:sz w:val="24"/>
          <w:szCs w:val="24"/>
        </w:rPr>
      </w:pPr>
      <w:r w:rsidRPr="00696BA5">
        <w:rPr>
          <w:rFonts w:ascii="Times New Roman" w:hAnsi="Times New Roman" w:cs="Times New Roman"/>
          <w:sz w:val="24"/>
          <w:szCs w:val="24"/>
        </w:rPr>
        <w:lastRenderedPageBreak/>
        <w:t xml:space="preserve">bardzo dobrą przyczepnością do podłoża betonowego i szczelnością </w:t>
      </w:r>
    </w:p>
    <w:p w14:paraId="509E5278" w14:textId="77777777" w:rsidR="00696BA5" w:rsidRPr="00696BA5" w:rsidRDefault="00696BA5" w:rsidP="00696BA5">
      <w:pPr>
        <w:numPr>
          <w:ilvl w:val="0"/>
          <w:numId w:val="4"/>
        </w:numPr>
        <w:jc w:val="both"/>
        <w:rPr>
          <w:rFonts w:ascii="Times New Roman" w:hAnsi="Times New Roman" w:cs="Times New Roman"/>
          <w:sz w:val="24"/>
          <w:szCs w:val="24"/>
        </w:rPr>
      </w:pPr>
      <w:r w:rsidRPr="00696BA5">
        <w:rPr>
          <w:rFonts w:ascii="Times New Roman" w:hAnsi="Times New Roman" w:cs="Times New Roman"/>
          <w:sz w:val="24"/>
          <w:szCs w:val="24"/>
        </w:rPr>
        <w:t xml:space="preserve">wysoką wytrzymałością na uszkodzenia mechaniczne </w:t>
      </w:r>
    </w:p>
    <w:p w14:paraId="64CE9F48" w14:textId="77777777" w:rsidR="00696BA5" w:rsidRPr="00696BA5" w:rsidRDefault="00696BA5" w:rsidP="00696BA5">
      <w:pPr>
        <w:numPr>
          <w:ilvl w:val="0"/>
          <w:numId w:val="4"/>
        </w:numPr>
        <w:jc w:val="both"/>
        <w:rPr>
          <w:rFonts w:ascii="Times New Roman" w:hAnsi="Times New Roman" w:cs="Times New Roman"/>
          <w:sz w:val="24"/>
          <w:szCs w:val="24"/>
        </w:rPr>
      </w:pPr>
      <w:r w:rsidRPr="00696BA5">
        <w:rPr>
          <w:rFonts w:ascii="Times New Roman" w:hAnsi="Times New Roman" w:cs="Times New Roman"/>
          <w:sz w:val="24"/>
          <w:szCs w:val="24"/>
        </w:rPr>
        <w:t xml:space="preserve">wysoką odpornością na czynniki chemiczne (m.in. wody chlorowanej, ścieków domowych, </w:t>
      </w:r>
      <w:proofErr w:type="spellStart"/>
      <w:r w:rsidRPr="00696BA5">
        <w:rPr>
          <w:rFonts w:ascii="Times New Roman" w:hAnsi="Times New Roman" w:cs="Times New Roman"/>
          <w:sz w:val="24"/>
          <w:szCs w:val="24"/>
        </w:rPr>
        <w:t>rozcięczonych</w:t>
      </w:r>
      <w:proofErr w:type="spellEnd"/>
      <w:r w:rsidRPr="00696BA5">
        <w:rPr>
          <w:rFonts w:ascii="Times New Roman" w:hAnsi="Times New Roman" w:cs="Times New Roman"/>
          <w:sz w:val="24"/>
          <w:szCs w:val="24"/>
        </w:rPr>
        <w:t xml:space="preserve"> kwasów i zasad, kwasów organicznych, domowych i przemysłowych środków czyszczących, mazutu, olejów silnikowych, benzyny) </w:t>
      </w:r>
    </w:p>
    <w:p w14:paraId="65C17741" w14:textId="77777777" w:rsidR="00696BA5" w:rsidRPr="00696BA5" w:rsidRDefault="00696BA5" w:rsidP="00696BA5">
      <w:pPr>
        <w:numPr>
          <w:ilvl w:val="0"/>
          <w:numId w:val="4"/>
        </w:numPr>
        <w:jc w:val="both"/>
        <w:rPr>
          <w:rFonts w:ascii="Times New Roman" w:hAnsi="Times New Roman" w:cs="Times New Roman"/>
          <w:sz w:val="24"/>
          <w:szCs w:val="24"/>
        </w:rPr>
      </w:pPr>
      <w:r w:rsidRPr="00696BA5">
        <w:rPr>
          <w:rFonts w:ascii="Times New Roman" w:hAnsi="Times New Roman" w:cs="Times New Roman"/>
          <w:sz w:val="24"/>
          <w:szCs w:val="24"/>
        </w:rPr>
        <w:t xml:space="preserve">zestaw musi by kompatybilny z materiałem izolacji nawierzchni wg ST M-20.01.08. </w:t>
      </w:r>
    </w:p>
    <w:p w14:paraId="4A08DA3F"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Taśma powinna mieć szerokość 10cm. </w:t>
      </w:r>
    </w:p>
    <w:p w14:paraId="50A9705D" w14:textId="77777777" w:rsidR="00696BA5" w:rsidRPr="00696BA5" w:rsidRDefault="00696BA5" w:rsidP="00696BA5">
      <w:pPr>
        <w:jc w:val="both"/>
        <w:rPr>
          <w:rFonts w:ascii="Times New Roman" w:hAnsi="Times New Roman" w:cs="Times New Roman"/>
          <w:sz w:val="24"/>
          <w:szCs w:val="24"/>
        </w:rPr>
      </w:pPr>
    </w:p>
    <w:p w14:paraId="0F487296" w14:textId="77777777" w:rsidR="00696BA5" w:rsidRPr="00696BA5" w:rsidRDefault="00696BA5" w:rsidP="00696BA5">
      <w:pPr>
        <w:numPr>
          <w:ilvl w:val="0"/>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SPRZĘT</w:t>
      </w:r>
    </w:p>
    <w:p w14:paraId="69608CF4"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Ogólne wymagania dotyczące sprzętu </w:t>
      </w:r>
    </w:p>
    <w:p w14:paraId="4A7728AA" w14:textId="76D0EB59"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Ogólne wymagania dotyczące sprzętu podano w WWiORB D-M.00.00.00 “Wymagania ogólne”. </w:t>
      </w:r>
    </w:p>
    <w:p w14:paraId="585FE5A3"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w:t>
      </w:r>
      <w:r w:rsidRPr="00696BA5">
        <w:rPr>
          <w:rFonts w:ascii="Times New Roman" w:eastAsiaTheme="minorHAnsi" w:hAnsi="Times New Roman" w:cs="Times New Roman"/>
          <w:b/>
          <w:bCs/>
          <w:sz w:val="24"/>
          <w:szCs w:val="24"/>
        </w:rPr>
        <w:t xml:space="preserve">Sprzęt do </w:t>
      </w:r>
      <w:r w:rsidRPr="00696BA5">
        <w:rPr>
          <w:rFonts w:ascii="Times New Roman" w:hAnsi="Times New Roman" w:cs="Times New Roman"/>
          <w:b/>
          <w:bCs/>
          <w:sz w:val="24"/>
          <w:szCs w:val="24"/>
        </w:rPr>
        <w:t>montażu</w:t>
      </w:r>
      <w:r w:rsidRPr="00696BA5">
        <w:rPr>
          <w:rFonts w:ascii="Times New Roman" w:eastAsiaTheme="minorHAnsi" w:hAnsi="Times New Roman" w:cs="Times New Roman"/>
          <w:b/>
          <w:bCs/>
          <w:sz w:val="24"/>
          <w:szCs w:val="24"/>
        </w:rPr>
        <w:t xml:space="preserve"> prefabrykatów</w:t>
      </w:r>
      <w:r w:rsidRPr="00696BA5">
        <w:rPr>
          <w:rFonts w:ascii="Times New Roman" w:hAnsi="Times New Roman" w:cs="Times New Roman"/>
          <w:b/>
          <w:bCs/>
          <w:sz w:val="24"/>
          <w:szCs w:val="24"/>
        </w:rPr>
        <w:t xml:space="preserve"> </w:t>
      </w:r>
    </w:p>
    <w:p w14:paraId="71F97CEC"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Sprzęt do montażu elementów prefabrykowanych powinien by zaakceptowany przez Przedstawiciela Zamawiającego. </w:t>
      </w:r>
    </w:p>
    <w:p w14:paraId="0B3A5A5B"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Do montażu i przeładunku prefabrykatów należy stosowa dźwigi samochodowe o udźwigu i wysięgu odpowiadającym terenowym warunkom montażu i przeładunku oraz ciężarowi montowanych elementów. Odpowiadające tym warunkom dźwigi wymagają utwardzonej powierzchni placu montażowego oraz drogi dojazdowej. </w:t>
      </w:r>
    </w:p>
    <w:p w14:paraId="58A908D5" w14:textId="77777777" w:rsidR="00696BA5" w:rsidRPr="00696BA5" w:rsidRDefault="00696BA5" w:rsidP="00696BA5">
      <w:pPr>
        <w:jc w:val="both"/>
        <w:rPr>
          <w:rFonts w:ascii="Times New Roman" w:hAnsi="Times New Roman" w:cs="Times New Roman"/>
          <w:sz w:val="24"/>
          <w:szCs w:val="24"/>
        </w:rPr>
      </w:pPr>
    </w:p>
    <w:p w14:paraId="67C4C0EC" w14:textId="77777777" w:rsidR="00696BA5" w:rsidRPr="00696BA5" w:rsidRDefault="00696BA5" w:rsidP="00696BA5">
      <w:pPr>
        <w:numPr>
          <w:ilvl w:val="0"/>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TRANSPORT </w:t>
      </w:r>
    </w:p>
    <w:p w14:paraId="022A0D02"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Ogólne wymagania dotyczące transportu </w:t>
      </w:r>
    </w:p>
    <w:p w14:paraId="4CE6C306" w14:textId="037E5230"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Ogólne wymagania dotyczące transportu podano w</w:t>
      </w:r>
      <w:r>
        <w:rPr>
          <w:rFonts w:ascii="Times New Roman" w:hAnsi="Times New Roman" w:cs="Times New Roman"/>
          <w:sz w:val="24"/>
          <w:szCs w:val="24"/>
        </w:rPr>
        <w:t xml:space="preserve"> </w:t>
      </w:r>
      <w:r w:rsidRPr="00696BA5">
        <w:rPr>
          <w:rFonts w:ascii="Times New Roman" w:hAnsi="Times New Roman" w:cs="Times New Roman"/>
          <w:sz w:val="24"/>
          <w:szCs w:val="24"/>
        </w:rPr>
        <w:t>WWiORB D-M.00.00.00 “Wymagania ogólne”.</w:t>
      </w:r>
    </w:p>
    <w:p w14:paraId="4BD49A77"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Transport i składowanie prefabrykatów  </w:t>
      </w:r>
    </w:p>
    <w:p w14:paraId="3636A68A"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Składowanie elementów powinno odbywa się na wyrównanym i odwodnionym podłożu. Elementy należy układa na podkładach z zachowaniem prześwitu minimum 10 cm pomiędzy podłożem i elementem. Elementy można transportowa po okresie przewidzianym w Projekcie Technologicznym. Podczas przestawiania elementów, ich transportu, montażu i ponownego ustawienia niedopuszczalne są uderzenia i wstrząsy mogące spowodować mechaniczne uszkodzenia krawędzi. Podczas składowania prefabrykatów należy zwróci szczególną uwagę na zabezpieczenie powłoki malarskiej na ich licu oraz na zabezpieczenie wystającego zbrojenia przed pogięciem. Prefabrykaty powinny by składowane na krawędziakach drewnianych podłożonych tak, aby nie wywoła w prefabrykatach nieprzewidzianych sił wewnętrznych. </w:t>
      </w:r>
    </w:p>
    <w:p w14:paraId="699FD7C5" w14:textId="77777777" w:rsidR="00696BA5" w:rsidRPr="00696BA5" w:rsidRDefault="00696BA5" w:rsidP="00696BA5">
      <w:pPr>
        <w:jc w:val="both"/>
        <w:rPr>
          <w:rFonts w:ascii="Times New Roman" w:hAnsi="Times New Roman" w:cs="Times New Roman"/>
          <w:sz w:val="24"/>
          <w:szCs w:val="24"/>
        </w:rPr>
      </w:pPr>
    </w:p>
    <w:p w14:paraId="34258007"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br w:type="page"/>
      </w:r>
    </w:p>
    <w:p w14:paraId="1DAD4FC2" w14:textId="77777777" w:rsidR="00696BA5" w:rsidRPr="00696BA5" w:rsidRDefault="00696BA5" w:rsidP="00696BA5">
      <w:pPr>
        <w:numPr>
          <w:ilvl w:val="0"/>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lastRenderedPageBreak/>
        <w:t xml:space="preserve">WYKONANIE ROBÓT </w:t>
      </w:r>
    </w:p>
    <w:p w14:paraId="1CD97655"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Ogólne zasady wykonania robót </w:t>
      </w:r>
    </w:p>
    <w:p w14:paraId="5D9D5ED6" w14:textId="1353602F"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Ogólne zasady wykonania robót podano w</w:t>
      </w:r>
      <w:r>
        <w:rPr>
          <w:rFonts w:ascii="Times New Roman" w:hAnsi="Times New Roman" w:cs="Times New Roman"/>
          <w:sz w:val="24"/>
          <w:szCs w:val="24"/>
        </w:rPr>
        <w:t xml:space="preserve"> </w:t>
      </w:r>
      <w:r w:rsidRPr="00696BA5">
        <w:rPr>
          <w:rFonts w:ascii="Times New Roman" w:hAnsi="Times New Roman" w:cs="Times New Roman"/>
          <w:sz w:val="24"/>
          <w:szCs w:val="24"/>
        </w:rPr>
        <w:t xml:space="preserve">WWiORB D-M.00.00.00 “Wymagania ogólne”. </w:t>
      </w:r>
    </w:p>
    <w:p w14:paraId="794C2E47"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Wykonawca przedstawi Przedstawicielowi Zamawiającego do akceptacji Projekt Technologiczny prefabrykatów deski gzymsowej uwzględniający wymiary przekroju poprzecznego podane w Dokumentacji Projektowej. W projekcie należy uwzględni podział długości zabudowy deski gzymsowej na elementy prefabrykowane , sposób rozwiązaniu ich styku, zbrojenie prefabrykatu dostosowane do zbrojenia kapy chodnikowej oraz sposób wykonania powłoki antykorozyjnej i powierzchniowej powłoki w kolorze uzgodnionym z Przedstawicielem Zamawiającego. </w:t>
      </w:r>
    </w:p>
    <w:p w14:paraId="7A984144"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Ponadto Wykonawca przedstawi do akceptacji  Przedstawiciela Zamawiającego projekt montażu i harmonogram robót uwzględniające wszystkie warunki, w jakich będzie wykonywany montaż prefabrykatów. W projekcie organizacji winno się znaleźć: </w:t>
      </w:r>
    </w:p>
    <w:p w14:paraId="3E0CC810" w14:textId="77777777" w:rsidR="00696BA5" w:rsidRPr="00696BA5" w:rsidRDefault="00696BA5" w:rsidP="00696BA5">
      <w:pPr>
        <w:numPr>
          <w:ilvl w:val="0"/>
          <w:numId w:val="5"/>
        </w:numPr>
        <w:jc w:val="both"/>
        <w:rPr>
          <w:rFonts w:ascii="Times New Roman" w:hAnsi="Times New Roman" w:cs="Times New Roman"/>
          <w:sz w:val="24"/>
          <w:szCs w:val="24"/>
        </w:rPr>
      </w:pPr>
      <w:r w:rsidRPr="00696BA5">
        <w:rPr>
          <w:rFonts w:ascii="Times New Roman" w:hAnsi="Times New Roman" w:cs="Times New Roman"/>
          <w:sz w:val="24"/>
          <w:szCs w:val="24"/>
        </w:rPr>
        <w:t xml:space="preserve">uzasadnienie dobranego sprzętu montażowego, </w:t>
      </w:r>
    </w:p>
    <w:p w14:paraId="0B63D91E" w14:textId="77777777" w:rsidR="00696BA5" w:rsidRPr="00696BA5" w:rsidRDefault="00696BA5" w:rsidP="00696BA5">
      <w:pPr>
        <w:numPr>
          <w:ilvl w:val="0"/>
          <w:numId w:val="5"/>
        </w:numPr>
        <w:jc w:val="both"/>
        <w:rPr>
          <w:rFonts w:ascii="Times New Roman" w:hAnsi="Times New Roman" w:cs="Times New Roman"/>
          <w:sz w:val="24"/>
          <w:szCs w:val="24"/>
        </w:rPr>
      </w:pPr>
      <w:r w:rsidRPr="00696BA5">
        <w:rPr>
          <w:rFonts w:ascii="Times New Roman" w:hAnsi="Times New Roman" w:cs="Times New Roman"/>
          <w:sz w:val="24"/>
          <w:szCs w:val="24"/>
        </w:rPr>
        <w:t xml:space="preserve">metoda montażu, </w:t>
      </w:r>
    </w:p>
    <w:p w14:paraId="108D1C6F" w14:textId="77777777" w:rsidR="00696BA5" w:rsidRPr="00696BA5" w:rsidRDefault="00696BA5" w:rsidP="00696BA5">
      <w:pPr>
        <w:numPr>
          <w:ilvl w:val="0"/>
          <w:numId w:val="5"/>
        </w:numPr>
        <w:jc w:val="both"/>
        <w:rPr>
          <w:rFonts w:ascii="Times New Roman" w:hAnsi="Times New Roman" w:cs="Times New Roman"/>
          <w:sz w:val="24"/>
          <w:szCs w:val="24"/>
        </w:rPr>
      </w:pPr>
      <w:r w:rsidRPr="00696BA5">
        <w:rPr>
          <w:rFonts w:ascii="Times New Roman" w:hAnsi="Times New Roman" w:cs="Times New Roman"/>
          <w:sz w:val="24"/>
          <w:szCs w:val="24"/>
        </w:rPr>
        <w:t xml:space="preserve">pomosty i podesty robocze, </w:t>
      </w:r>
    </w:p>
    <w:p w14:paraId="10887B36" w14:textId="77777777" w:rsidR="00696BA5" w:rsidRPr="00696BA5" w:rsidRDefault="00696BA5" w:rsidP="00696BA5">
      <w:pPr>
        <w:numPr>
          <w:ilvl w:val="0"/>
          <w:numId w:val="5"/>
        </w:numPr>
        <w:jc w:val="both"/>
        <w:rPr>
          <w:rFonts w:ascii="Times New Roman" w:hAnsi="Times New Roman" w:cs="Times New Roman"/>
          <w:sz w:val="24"/>
          <w:szCs w:val="24"/>
        </w:rPr>
      </w:pPr>
      <w:r w:rsidRPr="00696BA5">
        <w:rPr>
          <w:rFonts w:ascii="Times New Roman" w:hAnsi="Times New Roman" w:cs="Times New Roman"/>
          <w:sz w:val="24"/>
          <w:szCs w:val="24"/>
        </w:rPr>
        <w:t xml:space="preserve">rozwiązanie zagadnienia bezpieczeństwa pracy. </w:t>
      </w:r>
    </w:p>
    <w:p w14:paraId="5EEB7286" w14:textId="77777777" w:rsidR="00696BA5" w:rsidRPr="00696BA5" w:rsidRDefault="00696BA5" w:rsidP="00696BA5">
      <w:pPr>
        <w:jc w:val="both"/>
        <w:rPr>
          <w:rFonts w:ascii="Times New Roman" w:hAnsi="Times New Roman" w:cs="Times New Roman"/>
          <w:sz w:val="24"/>
          <w:szCs w:val="24"/>
        </w:rPr>
      </w:pPr>
    </w:p>
    <w:p w14:paraId="09956975" w14:textId="77777777" w:rsidR="00696BA5" w:rsidRPr="00696BA5" w:rsidRDefault="00696BA5" w:rsidP="00696BA5">
      <w:pPr>
        <w:numPr>
          <w:ilvl w:val="1"/>
          <w:numId w:val="1"/>
        </w:numPr>
        <w:jc w:val="both"/>
        <w:rPr>
          <w:rFonts w:ascii="Times New Roman" w:hAnsi="Times New Roman" w:cs="Times New Roman"/>
          <w:sz w:val="24"/>
          <w:szCs w:val="24"/>
        </w:rPr>
      </w:pPr>
      <w:r w:rsidRPr="00696BA5">
        <w:rPr>
          <w:rFonts w:ascii="Times New Roman" w:hAnsi="Times New Roman" w:cs="Times New Roman"/>
          <w:sz w:val="24"/>
          <w:szCs w:val="24"/>
        </w:rPr>
        <w:t xml:space="preserve"> Montaż prefabrykatów </w:t>
      </w:r>
    </w:p>
    <w:p w14:paraId="43FB5AC3"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Prefabrykaty powinny zostać wykonane w wytwórni. Przed przystąpieniem do wbudowania prefabrykatu, Wykonawca przedstawi  Przedstawicielowi Zamawiającego atest producenta, potwierdzający zgodną z wymaganiami przedstawionymi w punkt. 2. </w:t>
      </w:r>
    </w:p>
    <w:p w14:paraId="1CD5B998"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Przed przystąpieniem, do montażu należy sprawdzi stan prefabrykatów. Zbrojenie wykonane </w:t>
      </w:r>
    </w:p>
    <w:p w14:paraId="4E3DAC06"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w celu połączenia prefabrykatu z betonem wylewanym „na mokro” (betonem gzymsów i betonem płyty pomostu wiaduktu) powinno by oczyszczone. </w:t>
      </w:r>
    </w:p>
    <w:p w14:paraId="2EFD37AD"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W trakcie montażu prefabrykatów, należy szczególną uwagę zwróci na ich właściwe usytuowanie i zamocowanie (przyspawanie) wystających prętów do zbrojenia betonu wylewanego „na mokro”. Prefabrykaty należy montować z 1cm przerwą dylatacyjną. Zamocowanie desek gzymsowych musi uwzględni prawidłową linię niwelety, niwelując ewentualne niedokładności wykonania i ugięć płyty pomostu. Następnie na suchą i oczyszczoną powierzchnię nakleić taśmę uszczelniającą styk deski gzymsowej z betonem kapy. </w:t>
      </w:r>
    </w:p>
    <w:p w14:paraId="434DA4FD"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Po zamontowaniu deski i uszczelnieniu styku, jej górną powierzchnią należy pokryć izolacją  nawierzchni na szerokości 1cm przy wykonywaniu izolacji nawierzchni chodników. </w:t>
      </w:r>
    </w:p>
    <w:p w14:paraId="14BF6025" w14:textId="77777777" w:rsidR="00696BA5" w:rsidRPr="00696BA5" w:rsidRDefault="00696BA5" w:rsidP="00696BA5">
      <w:pPr>
        <w:jc w:val="both"/>
        <w:rPr>
          <w:rFonts w:ascii="Times New Roman" w:hAnsi="Times New Roman" w:cs="Times New Roman"/>
          <w:sz w:val="24"/>
          <w:szCs w:val="24"/>
        </w:rPr>
      </w:pPr>
    </w:p>
    <w:p w14:paraId="0CD823F1" w14:textId="77777777" w:rsidR="00696BA5" w:rsidRPr="00696BA5" w:rsidRDefault="00696BA5" w:rsidP="00696BA5">
      <w:pPr>
        <w:numPr>
          <w:ilvl w:val="1"/>
          <w:numId w:val="1"/>
        </w:numPr>
        <w:jc w:val="both"/>
        <w:rPr>
          <w:rFonts w:ascii="Times New Roman" w:hAnsi="Times New Roman" w:cs="Times New Roman"/>
          <w:sz w:val="24"/>
          <w:szCs w:val="24"/>
        </w:rPr>
      </w:pPr>
      <w:r w:rsidRPr="00696BA5">
        <w:rPr>
          <w:rFonts w:ascii="Times New Roman" w:hAnsi="Times New Roman" w:cs="Times New Roman"/>
          <w:sz w:val="24"/>
          <w:szCs w:val="24"/>
        </w:rPr>
        <w:t xml:space="preserve"> Ułożenie taśmy uszczelniającej </w:t>
      </w:r>
    </w:p>
    <w:p w14:paraId="5AE78660"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Podłoże, na które będzie przyklejana taśma musi by bez zanieczyszczeń, tłuszczu czy oleju i powinno by suche. Ewentualne ubytki w betonie należy uzupełni zaprawą </w:t>
      </w:r>
      <w:proofErr w:type="spellStart"/>
      <w:r w:rsidRPr="00696BA5">
        <w:rPr>
          <w:rFonts w:ascii="Times New Roman" w:hAnsi="Times New Roman" w:cs="Times New Roman"/>
          <w:sz w:val="24"/>
          <w:szCs w:val="24"/>
        </w:rPr>
        <w:t>niskoskurczową</w:t>
      </w:r>
      <w:proofErr w:type="spellEnd"/>
      <w:r w:rsidRPr="00696BA5">
        <w:rPr>
          <w:rFonts w:ascii="Times New Roman" w:hAnsi="Times New Roman" w:cs="Times New Roman"/>
          <w:sz w:val="24"/>
          <w:szCs w:val="24"/>
        </w:rPr>
        <w:t xml:space="preserve">. </w:t>
      </w:r>
      <w:r w:rsidRPr="00696BA5">
        <w:rPr>
          <w:rFonts w:ascii="Times New Roman" w:hAnsi="Times New Roman" w:cs="Times New Roman"/>
          <w:sz w:val="24"/>
          <w:szCs w:val="24"/>
        </w:rPr>
        <w:lastRenderedPageBreak/>
        <w:t xml:space="preserve">Zaprawę klejową należy nanieść szpachlę warstwą o grubości zalecanej przez producenta. Oczyszczoną i osuszoną taśmą należy ułoży na przygotowanym podłożu i silnie docisnąć. </w:t>
      </w:r>
    </w:p>
    <w:p w14:paraId="7F1B090E" w14:textId="77777777" w:rsidR="00696BA5" w:rsidRPr="00696BA5" w:rsidRDefault="00696BA5" w:rsidP="00696BA5">
      <w:pPr>
        <w:jc w:val="both"/>
        <w:rPr>
          <w:rFonts w:ascii="Times New Roman" w:hAnsi="Times New Roman" w:cs="Times New Roman"/>
          <w:sz w:val="24"/>
          <w:szCs w:val="24"/>
        </w:rPr>
      </w:pPr>
    </w:p>
    <w:p w14:paraId="4B376BC6" w14:textId="77777777" w:rsidR="00696BA5" w:rsidRPr="00696BA5" w:rsidRDefault="00696BA5" w:rsidP="00696BA5">
      <w:pPr>
        <w:numPr>
          <w:ilvl w:val="0"/>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KONTROLA JAKOŚCI ROBÓT </w:t>
      </w:r>
    </w:p>
    <w:p w14:paraId="282E775A"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Ogólne zasady kontroli jakości robót </w:t>
      </w:r>
    </w:p>
    <w:p w14:paraId="19A58B2B" w14:textId="009DA6F2"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Ogólne zasady kontroli jakości robót podano w WWiORB D-M.00.00.00 “Wymagania ogólne”. </w:t>
      </w:r>
    </w:p>
    <w:p w14:paraId="7ED8B16E" w14:textId="77777777" w:rsidR="00696BA5" w:rsidRPr="00696BA5" w:rsidRDefault="00696BA5" w:rsidP="00696BA5">
      <w:pPr>
        <w:jc w:val="both"/>
        <w:rPr>
          <w:rFonts w:ascii="Times New Roman" w:hAnsi="Times New Roman" w:cs="Times New Roman"/>
          <w:sz w:val="24"/>
          <w:szCs w:val="24"/>
        </w:rPr>
      </w:pPr>
    </w:p>
    <w:p w14:paraId="5A1BCDBC" w14:textId="77777777" w:rsidR="00696BA5" w:rsidRPr="00696BA5" w:rsidRDefault="00696BA5" w:rsidP="00696BA5">
      <w:pPr>
        <w:numPr>
          <w:ilvl w:val="1"/>
          <w:numId w:val="1"/>
        </w:numPr>
        <w:jc w:val="both"/>
        <w:rPr>
          <w:rFonts w:ascii="Times New Roman" w:eastAsiaTheme="minorHAnsi" w:hAnsi="Times New Roman" w:cs="Times New Roman"/>
          <w:b/>
          <w:bCs/>
          <w:sz w:val="24"/>
          <w:szCs w:val="24"/>
        </w:rPr>
      </w:pPr>
      <w:r w:rsidRPr="00696BA5">
        <w:rPr>
          <w:rFonts w:ascii="Times New Roman" w:hAnsi="Times New Roman" w:cs="Times New Roman"/>
          <w:b/>
          <w:bCs/>
          <w:sz w:val="24"/>
          <w:szCs w:val="24"/>
        </w:rPr>
        <w:t xml:space="preserve"> Kontrola elementów prefabrykowanych </w:t>
      </w:r>
    </w:p>
    <w:p w14:paraId="77B07A0A" w14:textId="77777777" w:rsidR="00696BA5" w:rsidRPr="00696BA5" w:rsidRDefault="00696BA5" w:rsidP="00696BA5">
      <w:pPr>
        <w:numPr>
          <w:ilvl w:val="2"/>
          <w:numId w:val="1"/>
        </w:numPr>
        <w:jc w:val="both"/>
        <w:rPr>
          <w:rFonts w:ascii="Times New Roman" w:hAnsi="Times New Roman" w:cs="Times New Roman"/>
          <w:sz w:val="24"/>
          <w:szCs w:val="24"/>
        </w:rPr>
      </w:pPr>
      <w:r w:rsidRPr="00696BA5">
        <w:rPr>
          <w:rFonts w:ascii="Times New Roman" w:hAnsi="Times New Roman" w:cs="Times New Roman"/>
          <w:sz w:val="24"/>
          <w:szCs w:val="24"/>
        </w:rPr>
        <w:t xml:space="preserve">Badania elementów prefabrykowanych obejmują: </w:t>
      </w:r>
    </w:p>
    <w:p w14:paraId="4846BC2E" w14:textId="77777777" w:rsidR="00696BA5" w:rsidRPr="00696BA5" w:rsidRDefault="00696BA5" w:rsidP="00696BA5">
      <w:pPr>
        <w:numPr>
          <w:ilvl w:val="0"/>
          <w:numId w:val="6"/>
        </w:num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atestu producenta na zgodną z wymaganiami punkt. 2 </w:t>
      </w:r>
    </w:p>
    <w:p w14:paraId="5CAE15F0" w14:textId="77777777" w:rsidR="00696BA5" w:rsidRPr="00696BA5" w:rsidRDefault="00696BA5" w:rsidP="00696BA5">
      <w:pPr>
        <w:numPr>
          <w:ilvl w:val="0"/>
          <w:numId w:val="6"/>
        </w:num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cech zewnętrznych, </w:t>
      </w:r>
    </w:p>
    <w:p w14:paraId="1D8C813D" w14:textId="77777777" w:rsidR="00696BA5" w:rsidRPr="00696BA5" w:rsidRDefault="00696BA5" w:rsidP="00696BA5">
      <w:pPr>
        <w:numPr>
          <w:ilvl w:val="0"/>
          <w:numId w:val="6"/>
        </w:num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stanu powłoki malarskiej, </w:t>
      </w:r>
    </w:p>
    <w:p w14:paraId="3246CDF6" w14:textId="77777777" w:rsidR="00696BA5" w:rsidRPr="00696BA5" w:rsidRDefault="00696BA5" w:rsidP="00696BA5">
      <w:pPr>
        <w:numPr>
          <w:ilvl w:val="0"/>
          <w:numId w:val="6"/>
        </w:num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prawidłowości montażu prefabrykatów. </w:t>
      </w:r>
    </w:p>
    <w:p w14:paraId="6158372C" w14:textId="77777777" w:rsidR="00696BA5" w:rsidRPr="00696BA5" w:rsidRDefault="00696BA5" w:rsidP="00696BA5">
      <w:pPr>
        <w:jc w:val="both"/>
        <w:rPr>
          <w:rFonts w:ascii="Times New Roman" w:hAnsi="Times New Roman" w:cs="Times New Roman"/>
          <w:sz w:val="24"/>
          <w:szCs w:val="24"/>
        </w:rPr>
      </w:pPr>
    </w:p>
    <w:p w14:paraId="104986E7" w14:textId="77777777" w:rsidR="00696BA5" w:rsidRPr="00696BA5" w:rsidRDefault="00696BA5" w:rsidP="00696BA5">
      <w:pPr>
        <w:numPr>
          <w:ilvl w:val="2"/>
          <w:numId w:val="1"/>
        </w:num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atestu producenta na zgodną z wymaganiami punkt. 2 </w:t>
      </w:r>
    </w:p>
    <w:p w14:paraId="6FC8FF51"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Wykonawca powinien dostarczy Przedstawicielowi Zamawiającego atest producenta dla elementów prefabrykowanych, w którym są wyspecyfikowane: </w:t>
      </w:r>
    </w:p>
    <w:p w14:paraId="0CF7B77F" w14:textId="77777777" w:rsidR="00696BA5" w:rsidRPr="00696BA5" w:rsidRDefault="00696BA5" w:rsidP="00696BA5">
      <w:pPr>
        <w:numPr>
          <w:ilvl w:val="0"/>
          <w:numId w:val="7"/>
        </w:numPr>
        <w:jc w:val="both"/>
        <w:rPr>
          <w:rFonts w:ascii="Times New Roman" w:hAnsi="Times New Roman" w:cs="Times New Roman"/>
          <w:sz w:val="24"/>
          <w:szCs w:val="24"/>
        </w:rPr>
      </w:pPr>
      <w:r w:rsidRPr="00696BA5">
        <w:rPr>
          <w:rFonts w:ascii="Times New Roman" w:hAnsi="Times New Roman" w:cs="Times New Roman"/>
          <w:sz w:val="24"/>
          <w:szCs w:val="24"/>
        </w:rPr>
        <w:t xml:space="preserve">data wystawienia </w:t>
      </w:r>
    </w:p>
    <w:p w14:paraId="16473A5D" w14:textId="77777777" w:rsidR="00696BA5" w:rsidRPr="00696BA5" w:rsidRDefault="00696BA5" w:rsidP="00696BA5">
      <w:pPr>
        <w:numPr>
          <w:ilvl w:val="0"/>
          <w:numId w:val="7"/>
        </w:numPr>
        <w:jc w:val="both"/>
        <w:rPr>
          <w:rFonts w:ascii="Times New Roman" w:hAnsi="Times New Roman" w:cs="Times New Roman"/>
          <w:sz w:val="24"/>
          <w:szCs w:val="24"/>
        </w:rPr>
      </w:pPr>
      <w:r w:rsidRPr="00696BA5">
        <w:rPr>
          <w:rFonts w:ascii="Times New Roman" w:hAnsi="Times New Roman" w:cs="Times New Roman"/>
          <w:sz w:val="24"/>
          <w:szCs w:val="24"/>
        </w:rPr>
        <w:t xml:space="preserve">nazwa i adres producenta </w:t>
      </w:r>
    </w:p>
    <w:p w14:paraId="4596B03E" w14:textId="77777777" w:rsidR="00696BA5" w:rsidRPr="00696BA5" w:rsidRDefault="00696BA5" w:rsidP="00696BA5">
      <w:pPr>
        <w:numPr>
          <w:ilvl w:val="0"/>
          <w:numId w:val="7"/>
        </w:numPr>
        <w:jc w:val="both"/>
        <w:rPr>
          <w:rFonts w:ascii="Times New Roman" w:hAnsi="Times New Roman" w:cs="Times New Roman"/>
          <w:sz w:val="24"/>
          <w:szCs w:val="24"/>
        </w:rPr>
      </w:pPr>
      <w:r w:rsidRPr="00696BA5">
        <w:rPr>
          <w:rFonts w:ascii="Times New Roman" w:hAnsi="Times New Roman" w:cs="Times New Roman"/>
          <w:sz w:val="24"/>
          <w:szCs w:val="24"/>
        </w:rPr>
        <w:t xml:space="preserve">lista właściwości objętych atestem </w:t>
      </w:r>
    </w:p>
    <w:p w14:paraId="40F405AD" w14:textId="77777777" w:rsidR="00696BA5" w:rsidRPr="00696BA5" w:rsidRDefault="00696BA5" w:rsidP="00696BA5">
      <w:pPr>
        <w:numPr>
          <w:ilvl w:val="0"/>
          <w:numId w:val="7"/>
        </w:numPr>
        <w:jc w:val="both"/>
        <w:rPr>
          <w:rFonts w:ascii="Times New Roman" w:hAnsi="Times New Roman" w:cs="Times New Roman"/>
          <w:sz w:val="24"/>
          <w:szCs w:val="24"/>
        </w:rPr>
      </w:pPr>
      <w:r w:rsidRPr="00696BA5">
        <w:rPr>
          <w:rFonts w:ascii="Times New Roman" w:hAnsi="Times New Roman" w:cs="Times New Roman"/>
          <w:sz w:val="24"/>
          <w:szCs w:val="24"/>
        </w:rPr>
        <w:t xml:space="preserve">opis badań prefabrykatów i wyniki bada </w:t>
      </w:r>
    </w:p>
    <w:p w14:paraId="6C8A9ECD" w14:textId="77777777" w:rsidR="00696BA5" w:rsidRPr="00696BA5" w:rsidRDefault="00696BA5" w:rsidP="00696BA5">
      <w:pPr>
        <w:numPr>
          <w:ilvl w:val="0"/>
          <w:numId w:val="7"/>
        </w:numPr>
        <w:jc w:val="both"/>
        <w:rPr>
          <w:rFonts w:ascii="Times New Roman" w:hAnsi="Times New Roman" w:cs="Times New Roman"/>
          <w:sz w:val="24"/>
          <w:szCs w:val="24"/>
        </w:rPr>
      </w:pPr>
      <w:r w:rsidRPr="00696BA5">
        <w:rPr>
          <w:rFonts w:ascii="Times New Roman" w:hAnsi="Times New Roman" w:cs="Times New Roman"/>
          <w:sz w:val="24"/>
          <w:szCs w:val="24"/>
        </w:rPr>
        <w:t>podpis osoby przeprowadzającej testy.</w:t>
      </w:r>
    </w:p>
    <w:p w14:paraId="6913E1BF" w14:textId="3B1A4A69"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Właściwości prefabrykatów wg atestu powinny by zgodne z wymaganiami podanymi w punkt. 2. </w:t>
      </w:r>
    </w:p>
    <w:p w14:paraId="3AC8552C" w14:textId="77777777" w:rsidR="00696BA5" w:rsidRPr="00696BA5" w:rsidRDefault="00696BA5" w:rsidP="00696BA5">
      <w:pPr>
        <w:numPr>
          <w:ilvl w:val="2"/>
          <w:numId w:val="1"/>
        </w:num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cech zewnętrznych </w:t>
      </w:r>
    </w:p>
    <w:p w14:paraId="32784B55"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cech zewnętrznych na budowie obejmuje - ocenę wizualną. Powierzchnia prefabrykatu powinna by sprawdzana pod względem uszkodzeń, pustek, spękań i obecności ciał obcych. Elementy prefabrykowane powinny spełnia wymagania podane w punkt. 2. </w:t>
      </w:r>
    </w:p>
    <w:p w14:paraId="4BEEC742"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wymiarów - kształt i wymiary należy sprawdza z dokładnością do 1mm. </w:t>
      </w:r>
    </w:p>
    <w:p w14:paraId="225EFE7A"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Dopuszczalne odchyłki wymiarów prefabrykatu nie powinny przekracza: </w:t>
      </w:r>
    </w:p>
    <w:p w14:paraId="31555D72"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-grubość ścian elementu: +2mm, - 2mm, </w:t>
      </w:r>
    </w:p>
    <w:p w14:paraId="32EEB110" w14:textId="77777777" w:rsidR="00696BA5" w:rsidRPr="00696BA5" w:rsidRDefault="00696BA5" w:rsidP="00696BA5">
      <w:pPr>
        <w:jc w:val="both"/>
        <w:rPr>
          <w:rFonts w:ascii="Times New Roman" w:hAnsi="Times New Roman" w:cs="Times New Roman"/>
          <w:sz w:val="24"/>
          <w:szCs w:val="24"/>
        </w:rPr>
      </w:pPr>
    </w:p>
    <w:p w14:paraId="0A0B73B4" w14:textId="77777777" w:rsidR="00696BA5" w:rsidRPr="00696BA5" w:rsidRDefault="00696BA5" w:rsidP="00696BA5">
      <w:pPr>
        <w:numPr>
          <w:ilvl w:val="2"/>
          <w:numId w:val="1"/>
        </w:numPr>
        <w:jc w:val="both"/>
        <w:rPr>
          <w:rFonts w:ascii="Times New Roman" w:hAnsi="Times New Roman" w:cs="Times New Roman"/>
          <w:sz w:val="24"/>
          <w:szCs w:val="24"/>
        </w:rPr>
      </w:pPr>
      <w:r w:rsidRPr="00696BA5">
        <w:rPr>
          <w:rFonts w:ascii="Times New Roman" w:hAnsi="Times New Roman" w:cs="Times New Roman"/>
          <w:sz w:val="24"/>
          <w:szCs w:val="24"/>
        </w:rPr>
        <w:lastRenderedPageBreak/>
        <w:t xml:space="preserve">Sprawdzenie prawidłowości montażu prefabrykatów </w:t>
      </w:r>
    </w:p>
    <w:p w14:paraId="74627F67"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prawidłowości montażu prefabrykatów obejmuje:  </w:t>
      </w:r>
    </w:p>
    <w:p w14:paraId="01BE8969" w14:textId="77777777" w:rsidR="00696BA5" w:rsidRPr="00696BA5" w:rsidRDefault="00696BA5" w:rsidP="00696BA5">
      <w:pPr>
        <w:numPr>
          <w:ilvl w:val="0"/>
          <w:numId w:val="8"/>
        </w:numPr>
        <w:jc w:val="both"/>
        <w:rPr>
          <w:rFonts w:ascii="Times New Roman" w:hAnsi="Times New Roman" w:cs="Times New Roman"/>
          <w:sz w:val="24"/>
          <w:szCs w:val="24"/>
        </w:rPr>
      </w:pPr>
      <w:r w:rsidRPr="00696BA5">
        <w:rPr>
          <w:rFonts w:ascii="Times New Roman" w:hAnsi="Times New Roman" w:cs="Times New Roman"/>
          <w:sz w:val="24"/>
          <w:szCs w:val="24"/>
        </w:rPr>
        <w:t xml:space="preserve">wizualną ocenę jakości robót, </w:t>
      </w:r>
    </w:p>
    <w:p w14:paraId="05AA1F58" w14:textId="77777777" w:rsidR="00696BA5" w:rsidRPr="00696BA5" w:rsidRDefault="00696BA5" w:rsidP="00696BA5">
      <w:pPr>
        <w:numPr>
          <w:ilvl w:val="0"/>
          <w:numId w:val="8"/>
        </w:num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szerokości spoin </w:t>
      </w:r>
    </w:p>
    <w:p w14:paraId="6A812E2A" w14:textId="77777777" w:rsidR="00696BA5" w:rsidRPr="00696BA5" w:rsidRDefault="00696BA5" w:rsidP="00696BA5">
      <w:pPr>
        <w:numPr>
          <w:ilvl w:val="0"/>
          <w:numId w:val="8"/>
        </w:numPr>
        <w:jc w:val="both"/>
        <w:rPr>
          <w:rFonts w:ascii="Times New Roman" w:hAnsi="Times New Roman" w:cs="Times New Roman"/>
          <w:sz w:val="24"/>
          <w:szCs w:val="24"/>
        </w:rPr>
      </w:pPr>
      <w:r w:rsidRPr="00696BA5">
        <w:rPr>
          <w:rFonts w:ascii="Times New Roman" w:hAnsi="Times New Roman" w:cs="Times New Roman"/>
          <w:sz w:val="24"/>
          <w:szCs w:val="24"/>
        </w:rPr>
        <w:t xml:space="preserve">sprawdzenie prostoliniowości ułożenia (odchylenia mierzone łata o długości 4,0m nie powinny by większe niż 5mm) </w:t>
      </w:r>
    </w:p>
    <w:p w14:paraId="78D4DEC1" w14:textId="77777777" w:rsidR="00696BA5" w:rsidRPr="00696BA5" w:rsidRDefault="00696BA5" w:rsidP="00696BA5">
      <w:pPr>
        <w:numPr>
          <w:ilvl w:val="0"/>
          <w:numId w:val="8"/>
        </w:numPr>
        <w:jc w:val="both"/>
        <w:rPr>
          <w:rFonts w:ascii="Times New Roman" w:hAnsi="Times New Roman" w:cs="Times New Roman"/>
          <w:sz w:val="24"/>
          <w:szCs w:val="24"/>
        </w:rPr>
      </w:pPr>
      <w:r w:rsidRPr="00696BA5">
        <w:rPr>
          <w:rFonts w:ascii="Times New Roman" w:hAnsi="Times New Roman" w:cs="Times New Roman"/>
          <w:sz w:val="24"/>
          <w:szCs w:val="24"/>
        </w:rPr>
        <w:t xml:space="preserve">niwelacyjne sprawdzenie prawidłowości wysokościowego ułożenia (odchylenia rzędnych nie powinny przekracza 2mm). </w:t>
      </w:r>
    </w:p>
    <w:p w14:paraId="19729D68" w14:textId="77777777" w:rsidR="00696BA5" w:rsidRPr="00696BA5" w:rsidRDefault="00696BA5" w:rsidP="00696BA5">
      <w:pPr>
        <w:jc w:val="both"/>
        <w:rPr>
          <w:rFonts w:ascii="Times New Roman" w:hAnsi="Times New Roman" w:cs="Times New Roman"/>
          <w:sz w:val="24"/>
          <w:szCs w:val="24"/>
        </w:rPr>
      </w:pPr>
    </w:p>
    <w:p w14:paraId="5D0D6C08" w14:textId="77777777" w:rsidR="00696BA5" w:rsidRPr="00696BA5" w:rsidRDefault="00696BA5" w:rsidP="00696BA5">
      <w:pPr>
        <w:numPr>
          <w:ilvl w:val="1"/>
          <w:numId w:val="1"/>
        </w:numPr>
        <w:jc w:val="both"/>
        <w:rPr>
          <w:rFonts w:ascii="Times New Roman" w:hAnsi="Times New Roman" w:cs="Times New Roman"/>
          <w:sz w:val="24"/>
          <w:szCs w:val="24"/>
        </w:rPr>
      </w:pPr>
      <w:r w:rsidRPr="00696BA5">
        <w:rPr>
          <w:rFonts w:ascii="Times New Roman" w:hAnsi="Times New Roman" w:cs="Times New Roman"/>
          <w:sz w:val="24"/>
          <w:szCs w:val="24"/>
        </w:rPr>
        <w:t xml:space="preserve"> Sprawdzenie wykonania uszczelnienia między deską gzymsową i płytą chodnikową </w:t>
      </w:r>
    </w:p>
    <w:p w14:paraId="66F65329" w14:textId="13F88F4F"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Sprawdzenie materiałów odbywa się na podstawie atestów producenta i porównania ich z wymaganiami niniejsz</w:t>
      </w:r>
      <w:r w:rsidR="0058404E">
        <w:rPr>
          <w:rFonts w:ascii="Times New Roman" w:hAnsi="Times New Roman" w:cs="Times New Roman"/>
          <w:sz w:val="24"/>
          <w:szCs w:val="24"/>
        </w:rPr>
        <w:t>ych</w:t>
      </w:r>
      <w:r w:rsidRPr="00696BA5">
        <w:rPr>
          <w:rFonts w:ascii="Times New Roman" w:hAnsi="Times New Roman" w:cs="Times New Roman"/>
          <w:sz w:val="24"/>
          <w:szCs w:val="24"/>
        </w:rPr>
        <w:t xml:space="preserve"> </w:t>
      </w:r>
      <w:r w:rsidR="0058404E">
        <w:rPr>
          <w:rFonts w:ascii="Times New Roman" w:hAnsi="Times New Roman" w:cs="Times New Roman"/>
          <w:sz w:val="24"/>
          <w:szCs w:val="24"/>
        </w:rPr>
        <w:t>WWiORB</w:t>
      </w:r>
      <w:r w:rsidRPr="00696BA5">
        <w:rPr>
          <w:rFonts w:ascii="Times New Roman" w:hAnsi="Times New Roman" w:cs="Times New Roman"/>
          <w:sz w:val="24"/>
          <w:szCs w:val="24"/>
        </w:rPr>
        <w:t xml:space="preserve">. Grubość naniesionej zaprawy klejowej powinna by zgodna z wymaganiami producenta. Taśma powinna całą powierzchnią przylega do podłoża – nie powinno by fałd ani przerwań. Musi być ułożona symetrycznie w stosunku do szczeliny dylatacyjnej. </w:t>
      </w:r>
    </w:p>
    <w:p w14:paraId="12E12716" w14:textId="77777777" w:rsidR="00696BA5" w:rsidRPr="00696BA5" w:rsidRDefault="00696BA5" w:rsidP="00696BA5">
      <w:pPr>
        <w:jc w:val="both"/>
        <w:rPr>
          <w:rFonts w:ascii="Times New Roman" w:hAnsi="Times New Roman" w:cs="Times New Roman"/>
          <w:sz w:val="24"/>
          <w:szCs w:val="24"/>
        </w:rPr>
      </w:pPr>
    </w:p>
    <w:p w14:paraId="62A52CA4" w14:textId="77777777" w:rsidR="00696BA5" w:rsidRPr="00696BA5" w:rsidRDefault="00696BA5" w:rsidP="00696BA5">
      <w:pPr>
        <w:numPr>
          <w:ilvl w:val="0"/>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OBMIAR ROBÓT </w:t>
      </w:r>
    </w:p>
    <w:p w14:paraId="75AE6B83"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Ogólne zasady obmiaru robót </w:t>
      </w:r>
    </w:p>
    <w:p w14:paraId="3F5F7BEC" w14:textId="7AA57655"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Ogólne zasady obmiaru robót podano w WWiORB D-M.00.00.00 “Wymagania ogólne”.</w:t>
      </w:r>
    </w:p>
    <w:p w14:paraId="4D21E5F9" w14:textId="77777777" w:rsidR="00696BA5" w:rsidRPr="00696BA5" w:rsidRDefault="00696BA5" w:rsidP="00696BA5">
      <w:pPr>
        <w:jc w:val="both"/>
        <w:rPr>
          <w:rFonts w:ascii="Times New Roman" w:hAnsi="Times New Roman" w:cs="Times New Roman"/>
          <w:sz w:val="24"/>
          <w:szCs w:val="24"/>
        </w:rPr>
      </w:pPr>
    </w:p>
    <w:p w14:paraId="2880681C"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Jednostka obmiarowa </w:t>
      </w:r>
    </w:p>
    <w:p w14:paraId="6126CE2A"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Jednostką obmiaru jest </w:t>
      </w:r>
      <w:r w:rsidRPr="00696BA5">
        <w:rPr>
          <w:rFonts w:ascii="Times New Roman" w:hAnsi="Times New Roman" w:cs="Times New Roman"/>
          <w:b/>
          <w:sz w:val="24"/>
          <w:szCs w:val="24"/>
        </w:rPr>
        <w:t>m</w:t>
      </w:r>
      <w:r w:rsidRPr="00696BA5">
        <w:rPr>
          <w:rFonts w:ascii="Times New Roman" w:hAnsi="Times New Roman" w:cs="Times New Roman"/>
          <w:sz w:val="24"/>
          <w:szCs w:val="24"/>
        </w:rPr>
        <w:t xml:space="preserve"> (metr) zamontowanych prefabrykowanych desek gzymsowych. </w:t>
      </w:r>
    </w:p>
    <w:p w14:paraId="28C012DA" w14:textId="77777777" w:rsidR="00696BA5" w:rsidRPr="00696BA5" w:rsidRDefault="00696BA5" w:rsidP="00696BA5">
      <w:pPr>
        <w:jc w:val="both"/>
        <w:rPr>
          <w:rFonts w:ascii="Times New Roman" w:hAnsi="Times New Roman" w:cs="Times New Roman"/>
          <w:sz w:val="24"/>
          <w:szCs w:val="24"/>
        </w:rPr>
      </w:pPr>
    </w:p>
    <w:p w14:paraId="6B9FF6C1" w14:textId="77777777" w:rsidR="00696BA5" w:rsidRPr="00696BA5" w:rsidRDefault="00696BA5" w:rsidP="00696BA5">
      <w:pPr>
        <w:numPr>
          <w:ilvl w:val="0"/>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ODBIÓR ROBÓT </w:t>
      </w:r>
    </w:p>
    <w:p w14:paraId="72CA47D7"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Ogólne zasady odbioru robót </w:t>
      </w:r>
    </w:p>
    <w:p w14:paraId="5532FB84" w14:textId="38B99E8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Ogólne zasady odbioru robót podano w WWiORB D-M.00.00.00 “Wymagania ogólne”. </w:t>
      </w:r>
    </w:p>
    <w:p w14:paraId="1FE7CCE6" w14:textId="77777777" w:rsidR="00696BA5" w:rsidRPr="00696BA5" w:rsidRDefault="00696BA5" w:rsidP="00696BA5">
      <w:pPr>
        <w:jc w:val="both"/>
        <w:rPr>
          <w:rFonts w:ascii="Times New Roman" w:hAnsi="Times New Roman" w:cs="Times New Roman"/>
          <w:sz w:val="24"/>
          <w:szCs w:val="24"/>
        </w:rPr>
      </w:pPr>
    </w:p>
    <w:p w14:paraId="1AAC5425"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Odbiór robót </w:t>
      </w:r>
    </w:p>
    <w:p w14:paraId="00A39D06" w14:textId="4403806D"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Roboty objęte niniejszą Specyfikacją podlegają odbiorowi robót, który jest dokonywany na podstawie wyników pomiarów, badań i oceny wizualnej. Jeżeli wszystkie badania przewidziane w punkt. 6 dały wynik pozytywny, wykonane roboty należy uznać za wykonane zgodnie z wymaganiami ST. Jeżeli choć jedno badanie dało wynik ujemny wykonane roboty należy uzna za niezgodne z wymaganiami. W tym wypadku Wykonawca jest zobowiązany doprowadzi roboty do zgodności z ST i przedstawi je do ponownego odbioru. </w:t>
      </w:r>
    </w:p>
    <w:p w14:paraId="1FCBB23E" w14:textId="77777777" w:rsidR="00696BA5" w:rsidRPr="00696BA5" w:rsidRDefault="00696BA5" w:rsidP="00696BA5">
      <w:pPr>
        <w:numPr>
          <w:ilvl w:val="0"/>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lastRenderedPageBreak/>
        <w:t xml:space="preserve">PODSTAWA PŁATNOŚCI </w:t>
      </w:r>
    </w:p>
    <w:p w14:paraId="6481BDCD" w14:textId="77777777" w:rsidR="00696BA5" w:rsidRPr="00696BA5" w:rsidRDefault="00696BA5" w:rsidP="00696BA5">
      <w:pPr>
        <w:numPr>
          <w:ilvl w:val="1"/>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 Ogólne ustalenia dotyczące podstawy płatności </w:t>
      </w:r>
    </w:p>
    <w:p w14:paraId="2C6D0F3F" w14:textId="47417E3A"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Ogólne ustalenia dotyczące podstawy płatności podano w WWiORB D-M.00.00.00 “Wymagania ogólne”. </w:t>
      </w:r>
    </w:p>
    <w:p w14:paraId="6EEE9CC1"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 Cena jednostki obmiarowej </w:t>
      </w:r>
    </w:p>
    <w:p w14:paraId="53009325"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Cena jednostki obmiarowej obejmuje w szczególności: </w:t>
      </w:r>
    </w:p>
    <w:p w14:paraId="5819D62B"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 xml:space="preserve">prace pomiarowe i roboty przygotowawcze, oznakowanie robót, </w:t>
      </w:r>
    </w:p>
    <w:p w14:paraId="723A26C1"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 xml:space="preserve">zakup elementów prefabrykowanych, </w:t>
      </w:r>
    </w:p>
    <w:p w14:paraId="3BEDB2F9"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 xml:space="preserve">transport prefabrykatów na miejsce wbudowania, </w:t>
      </w:r>
    </w:p>
    <w:p w14:paraId="28F7D3D9"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wykonanie i rozbiórkę niezbędnych pomostów roboczych,</w:t>
      </w:r>
    </w:p>
    <w:p w14:paraId="4686FA0F"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 xml:space="preserve">montaż prefabrykatów, </w:t>
      </w:r>
    </w:p>
    <w:p w14:paraId="4333DD34"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 xml:space="preserve">przygotowanie elementów do zespolenia z betonem, </w:t>
      </w:r>
    </w:p>
    <w:p w14:paraId="37B9DFDE"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 xml:space="preserve">przyklejenie taśmy uszczelniającej, </w:t>
      </w:r>
    </w:p>
    <w:p w14:paraId="70CE2887"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 xml:space="preserve">wykonanie niezbędnych pomiarów i badań,  </w:t>
      </w:r>
    </w:p>
    <w:p w14:paraId="2FF5BDED"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 xml:space="preserve">rozbiórką urządzeń do montażu z usunięciem poza pas drogowy, </w:t>
      </w:r>
    </w:p>
    <w:p w14:paraId="018402BF" w14:textId="77777777" w:rsidR="00696BA5" w:rsidRPr="00696BA5" w:rsidRDefault="00696BA5" w:rsidP="00696BA5">
      <w:pPr>
        <w:numPr>
          <w:ilvl w:val="0"/>
          <w:numId w:val="9"/>
        </w:numPr>
        <w:jc w:val="both"/>
        <w:rPr>
          <w:rFonts w:ascii="Times New Roman" w:hAnsi="Times New Roman" w:cs="Times New Roman"/>
          <w:sz w:val="24"/>
          <w:szCs w:val="24"/>
        </w:rPr>
      </w:pPr>
      <w:r w:rsidRPr="00696BA5">
        <w:rPr>
          <w:rFonts w:ascii="Times New Roman" w:hAnsi="Times New Roman" w:cs="Times New Roman"/>
          <w:sz w:val="24"/>
          <w:szCs w:val="24"/>
        </w:rPr>
        <w:t xml:space="preserve">uporządkowanie terenu budowy. </w:t>
      </w:r>
    </w:p>
    <w:p w14:paraId="3D460570" w14:textId="77777777" w:rsidR="00696BA5" w:rsidRPr="00696BA5" w:rsidRDefault="00696BA5" w:rsidP="00696BA5">
      <w:pPr>
        <w:jc w:val="both"/>
        <w:rPr>
          <w:rFonts w:ascii="Times New Roman" w:hAnsi="Times New Roman" w:cs="Times New Roman"/>
          <w:sz w:val="24"/>
          <w:szCs w:val="24"/>
        </w:rPr>
      </w:pPr>
    </w:p>
    <w:p w14:paraId="424B5E66" w14:textId="77777777" w:rsidR="00696BA5" w:rsidRPr="00696BA5" w:rsidRDefault="00696BA5" w:rsidP="00696BA5">
      <w:pPr>
        <w:numPr>
          <w:ilvl w:val="0"/>
          <w:numId w:val="1"/>
        </w:numPr>
        <w:jc w:val="both"/>
        <w:rPr>
          <w:rFonts w:ascii="Times New Roman" w:hAnsi="Times New Roman" w:cs="Times New Roman"/>
          <w:b/>
          <w:bCs/>
          <w:sz w:val="24"/>
          <w:szCs w:val="24"/>
        </w:rPr>
      </w:pPr>
      <w:r w:rsidRPr="00696BA5">
        <w:rPr>
          <w:rFonts w:ascii="Times New Roman" w:hAnsi="Times New Roman" w:cs="Times New Roman"/>
          <w:b/>
          <w:bCs/>
          <w:sz w:val="24"/>
          <w:szCs w:val="24"/>
        </w:rPr>
        <w:t xml:space="preserve">PRZEPISY ZWIĄZANE </w:t>
      </w:r>
    </w:p>
    <w:p w14:paraId="6071382F" w14:textId="001AFDFE" w:rsidR="00696BA5" w:rsidRPr="00696BA5" w:rsidRDefault="00696BA5" w:rsidP="00696BA5">
      <w:pPr>
        <w:numPr>
          <w:ilvl w:val="1"/>
          <w:numId w:val="1"/>
        </w:numPr>
        <w:jc w:val="both"/>
        <w:rPr>
          <w:rFonts w:ascii="Times New Roman" w:hAnsi="Times New Roman" w:cs="Times New Roman"/>
          <w:sz w:val="24"/>
          <w:szCs w:val="24"/>
        </w:rPr>
      </w:pPr>
      <w:r w:rsidRPr="00696BA5">
        <w:rPr>
          <w:rFonts w:ascii="Times New Roman" w:hAnsi="Times New Roman" w:cs="Times New Roman"/>
          <w:sz w:val="24"/>
          <w:szCs w:val="24"/>
        </w:rPr>
        <w:t>WWiORB</w:t>
      </w:r>
    </w:p>
    <w:p w14:paraId="728547B3" w14:textId="268EAF99"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D</w:t>
      </w:r>
      <w:r>
        <w:rPr>
          <w:rFonts w:ascii="Times New Roman" w:hAnsi="Times New Roman" w:cs="Times New Roman"/>
          <w:sz w:val="24"/>
          <w:szCs w:val="24"/>
        </w:rPr>
        <w:t>-</w:t>
      </w:r>
      <w:r w:rsidRPr="00696BA5">
        <w:rPr>
          <w:rFonts w:ascii="Times New Roman" w:hAnsi="Times New Roman" w:cs="Times New Roman"/>
          <w:sz w:val="24"/>
          <w:szCs w:val="24"/>
        </w:rPr>
        <w:t>M-00.00.00. Wymagania ogólne</w:t>
      </w:r>
    </w:p>
    <w:p w14:paraId="7E1C9C0E" w14:textId="77777777" w:rsidR="00696BA5" w:rsidRPr="00696BA5" w:rsidRDefault="00696BA5" w:rsidP="00696BA5">
      <w:pPr>
        <w:jc w:val="both"/>
        <w:rPr>
          <w:rFonts w:ascii="Times New Roman" w:hAnsi="Times New Roman" w:cs="Times New Roman"/>
          <w:sz w:val="24"/>
          <w:szCs w:val="24"/>
        </w:rPr>
      </w:pPr>
    </w:p>
    <w:p w14:paraId="2A9BB302" w14:textId="77777777" w:rsidR="00696BA5" w:rsidRPr="00696BA5" w:rsidRDefault="00696BA5" w:rsidP="00696BA5">
      <w:pPr>
        <w:numPr>
          <w:ilvl w:val="1"/>
          <w:numId w:val="1"/>
        </w:numPr>
        <w:jc w:val="both"/>
        <w:rPr>
          <w:rFonts w:ascii="Times New Roman" w:hAnsi="Times New Roman" w:cs="Times New Roman"/>
          <w:sz w:val="24"/>
          <w:szCs w:val="24"/>
        </w:rPr>
      </w:pPr>
      <w:r w:rsidRPr="00696BA5">
        <w:rPr>
          <w:rFonts w:ascii="Times New Roman" w:hAnsi="Times New Roman" w:cs="Times New Roman"/>
          <w:sz w:val="24"/>
          <w:szCs w:val="24"/>
        </w:rPr>
        <w:t xml:space="preserve">Normy </w:t>
      </w:r>
    </w:p>
    <w:p w14:paraId="322F1930" w14:textId="77777777" w:rsidR="00696BA5"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 xml:space="preserve">PN-77/S-10040 Obiekty mostowe. Konstrukcje betonowe, żelbetowe i sprężone. </w:t>
      </w:r>
    </w:p>
    <w:p w14:paraId="012B075E" w14:textId="4AF34E82" w:rsidR="00082F52" w:rsidRPr="00696BA5" w:rsidRDefault="00696BA5" w:rsidP="00696BA5">
      <w:pPr>
        <w:jc w:val="both"/>
        <w:rPr>
          <w:rFonts w:ascii="Times New Roman" w:hAnsi="Times New Roman" w:cs="Times New Roman"/>
          <w:sz w:val="24"/>
          <w:szCs w:val="24"/>
        </w:rPr>
      </w:pPr>
      <w:r w:rsidRPr="00696BA5">
        <w:rPr>
          <w:rFonts w:ascii="Times New Roman" w:hAnsi="Times New Roman" w:cs="Times New Roman"/>
          <w:sz w:val="24"/>
          <w:szCs w:val="24"/>
        </w:rPr>
        <w:t>Wymagania i badania</w:t>
      </w:r>
    </w:p>
    <w:sectPr w:rsidR="00082F52" w:rsidRPr="00696BA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76EBF" w14:textId="77777777" w:rsidR="00696BA5" w:rsidRDefault="00696BA5" w:rsidP="00696BA5">
      <w:pPr>
        <w:spacing w:after="0" w:line="240" w:lineRule="auto"/>
      </w:pPr>
      <w:r>
        <w:separator/>
      </w:r>
    </w:p>
  </w:endnote>
  <w:endnote w:type="continuationSeparator" w:id="0">
    <w:p w14:paraId="20B1F560" w14:textId="77777777" w:rsidR="00696BA5" w:rsidRDefault="00696BA5" w:rsidP="00696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7028003"/>
      <w:docPartObj>
        <w:docPartGallery w:val="Page Numbers (Bottom of Page)"/>
        <w:docPartUnique/>
      </w:docPartObj>
    </w:sdtPr>
    <w:sdtContent>
      <w:p w14:paraId="743F097F" w14:textId="33694D0B" w:rsidR="00696BA5" w:rsidRDefault="00696BA5">
        <w:pPr>
          <w:pStyle w:val="Stopka"/>
          <w:jc w:val="center"/>
        </w:pPr>
        <w:r>
          <w:fldChar w:fldCharType="begin"/>
        </w:r>
        <w:r>
          <w:instrText>PAGE   \* MERGEFORMAT</w:instrText>
        </w:r>
        <w:r>
          <w:fldChar w:fldCharType="separate"/>
        </w:r>
        <w:r>
          <w:t>2</w:t>
        </w:r>
        <w:r>
          <w:fldChar w:fldCharType="end"/>
        </w:r>
      </w:p>
    </w:sdtContent>
  </w:sdt>
  <w:p w14:paraId="7C79252E" w14:textId="77777777" w:rsidR="00696BA5" w:rsidRDefault="00696B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2560C" w14:textId="77777777" w:rsidR="00696BA5" w:rsidRDefault="00696BA5" w:rsidP="00696BA5">
      <w:pPr>
        <w:spacing w:after="0" w:line="240" w:lineRule="auto"/>
      </w:pPr>
      <w:r>
        <w:separator/>
      </w:r>
    </w:p>
  </w:footnote>
  <w:footnote w:type="continuationSeparator" w:id="0">
    <w:p w14:paraId="16E50BE2" w14:textId="77777777" w:rsidR="00696BA5" w:rsidRDefault="00696BA5" w:rsidP="00696B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FD2B1" w14:textId="60417301" w:rsidR="00696BA5" w:rsidRDefault="00696BA5" w:rsidP="00696BA5">
    <w:pPr>
      <w:pStyle w:val="Nagwek"/>
      <w:tabs>
        <w:tab w:val="clear" w:pos="4536"/>
        <w:tab w:val="clear" w:pos="9072"/>
      </w:tabs>
      <w:rPr>
        <w:i/>
        <w:sz w:val="20"/>
      </w:rPr>
    </w:pPr>
    <w:r>
      <w:rPr>
        <w:i/>
        <w:sz w:val="20"/>
      </w:rPr>
      <w:t>WARUNKI WYKONANIA I ODBIORU ROBÓT BUDOWLANYCH</w:t>
    </w:r>
    <w:r>
      <w:rPr>
        <w:i/>
        <w:sz w:val="20"/>
      </w:rPr>
      <w:tab/>
    </w:r>
    <w:r>
      <w:rPr>
        <w:i/>
        <w:sz w:val="20"/>
      </w:rPr>
      <w:tab/>
    </w:r>
    <w:r>
      <w:rPr>
        <w:i/>
        <w:sz w:val="20"/>
      </w:rPr>
      <w:tab/>
    </w:r>
    <w:r>
      <w:rPr>
        <w:i/>
        <w:sz w:val="20"/>
      </w:rPr>
      <w:tab/>
      <w:t xml:space="preserve"> </w:t>
    </w:r>
    <w:r>
      <w:rPr>
        <w:i/>
        <w:sz w:val="20"/>
      </w:rPr>
      <w:t>M</w:t>
    </w:r>
    <w:r>
      <w:rPr>
        <w:i/>
        <w:sz w:val="20"/>
      </w:rPr>
      <w:t>.</w:t>
    </w:r>
    <w:r>
      <w:rPr>
        <w:i/>
        <w:sz w:val="20"/>
      </w:rPr>
      <w:t>13</w:t>
    </w:r>
    <w:r>
      <w:rPr>
        <w:i/>
        <w:sz w:val="20"/>
      </w:rPr>
      <w:t>.0</w:t>
    </w:r>
    <w:r>
      <w:rPr>
        <w:i/>
        <w:sz w:val="20"/>
      </w:rPr>
      <w:t>3</w:t>
    </w:r>
    <w:r>
      <w:rPr>
        <w:i/>
        <w:sz w:val="20"/>
      </w:rPr>
      <w:t>.0</w:t>
    </w:r>
    <w:r>
      <w:rPr>
        <w:i/>
        <w:sz w:val="20"/>
      </w:rPr>
      <w:t>1</w:t>
    </w:r>
  </w:p>
  <w:p w14:paraId="39E0664F" w14:textId="058FFD61" w:rsidR="00696BA5" w:rsidRPr="00696BA5" w:rsidRDefault="00696BA5" w:rsidP="00696BA5">
    <w:pPr>
      <w:spacing w:line="19" w:lineRule="exact"/>
      <w:rPr>
        <w:b/>
        <w:sz w:val="20"/>
      </w:rPr>
    </w:pPr>
    <w:r>
      <w:rPr>
        <w:noProof/>
      </w:rPr>
      <mc:AlternateContent>
        <mc:Choice Requires="wps">
          <w:drawing>
            <wp:anchor distT="0" distB="0" distL="114300" distR="114300" simplePos="0" relativeHeight="251659264" behindDoc="1" locked="1" layoutInCell="0" allowOverlap="1" wp14:anchorId="1F21DE74" wp14:editId="4B227262">
              <wp:simplePos x="0" y="0"/>
              <wp:positionH relativeFrom="page">
                <wp:posOffset>899160</wp:posOffset>
              </wp:positionH>
              <wp:positionV relativeFrom="paragraph">
                <wp:posOffset>0</wp:posOffset>
              </wp:positionV>
              <wp:extent cx="5761990" cy="12065"/>
              <wp:effectExtent l="0" t="0" r="0" b="0"/>
              <wp:wrapNone/>
              <wp:docPr id="798708559"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99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08D59" id="Prostokąt 1" o:spid="_x0000_s1026" style="position:absolute;margin-left:70.8pt;margin-top:0;width:453.7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" o:allowincell="f" fillcolor="black" stroked="f" strokeweight="0">
              <w10:wrap anchorx="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57053"/>
    <w:multiLevelType w:val="multilevel"/>
    <w:tmpl w:val="EE26BA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452372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02595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00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81496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22747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03803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52640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9945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958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BA5"/>
    <w:rsid w:val="00082F52"/>
    <w:rsid w:val="002031F7"/>
    <w:rsid w:val="0058404E"/>
    <w:rsid w:val="0067467E"/>
    <w:rsid w:val="00696BA5"/>
    <w:rsid w:val="00C010F8"/>
    <w:rsid w:val="00E216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0F481"/>
  <w15:chartTrackingRefBased/>
  <w15:docId w15:val="{B12A3E25-303A-4A38-8117-4DADCF15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6BA5"/>
    <w:rPr>
      <w:rFonts w:eastAsiaTheme="minorEastAsia"/>
      <w:kern w:val="0"/>
      <w:lang w:eastAsia="pl-PL"/>
      <w14:ligatures w14:val="none"/>
    </w:rPr>
  </w:style>
  <w:style w:type="paragraph" w:styleId="Nagwek1">
    <w:name w:val="heading 1"/>
    <w:basedOn w:val="Normalny"/>
    <w:next w:val="Normalny"/>
    <w:link w:val="Nagwek1Znak"/>
    <w:uiPriority w:val="9"/>
    <w:qFormat/>
    <w:rsid w:val="00696B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96B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96BA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96BA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96BA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96BA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96BA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96BA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96BA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96BA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96BA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96BA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96BA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96BA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96BA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96BA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96BA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96BA5"/>
    <w:rPr>
      <w:rFonts w:eastAsiaTheme="majorEastAsia" w:cstheme="majorBidi"/>
      <w:color w:val="272727" w:themeColor="text1" w:themeTint="D8"/>
    </w:rPr>
  </w:style>
  <w:style w:type="paragraph" w:styleId="Tytu">
    <w:name w:val="Title"/>
    <w:basedOn w:val="Normalny"/>
    <w:next w:val="Normalny"/>
    <w:link w:val="TytuZnak"/>
    <w:uiPriority w:val="10"/>
    <w:qFormat/>
    <w:rsid w:val="00696B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96BA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96BA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96BA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96BA5"/>
    <w:pPr>
      <w:spacing w:before="160"/>
      <w:jc w:val="center"/>
    </w:pPr>
    <w:rPr>
      <w:i/>
      <w:iCs/>
      <w:color w:val="404040" w:themeColor="text1" w:themeTint="BF"/>
    </w:rPr>
  </w:style>
  <w:style w:type="character" w:customStyle="1" w:styleId="CytatZnak">
    <w:name w:val="Cytat Znak"/>
    <w:basedOn w:val="Domylnaczcionkaakapitu"/>
    <w:link w:val="Cytat"/>
    <w:uiPriority w:val="29"/>
    <w:rsid w:val="00696BA5"/>
    <w:rPr>
      <w:i/>
      <w:iCs/>
      <w:color w:val="404040" w:themeColor="text1" w:themeTint="BF"/>
    </w:rPr>
  </w:style>
  <w:style w:type="paragraph" w:styleId="Akapitzlist">
    <w:name w:val="List Paragraph"/>
    <w:basedOn w:val="Normalny"/>
    <w:uiPriority w:val="34"/>
    <w:qFormat/>
    <w:rsid w:val="00696BA5"/>
    <w:pPr>
      <w:ind w:left="720"/>
      <w:contextualSpacing/>
    </w:pPr>
  </w:style>
  <w:style w:type="character" w:styleId="Wyrnienieintensywne">
    <w:name w:val="Intense Emphasis"/>
    <w:basedOn w:val="Domylnaczcionkaakapitu"/>
    <w:uiPriority w:val="21"/>
    <w:qFormat/>
    <w:rsid w:val="00696BA5"/>
    <w:rPr>
      <w:i/>
      <w:iCs/>
      <w:color w:val="0F4761" w:themeColor="accent1" w:themeShade="BF"/>
    </w:rPr>
  </w:style>
  <w:style w:type="paragraph" w:styleId="Cytatintensywny">
    <w:name w:val="Intense Quote"/>
    <w:basedOn w:val="Normalny"/>
    <w:next w:val="Normalny"/>
    <w:link w:val="CytatintensywnyZnak"/>
    <w:uiPriority w:val="30"/>
    <w:qFormat/>
    <w:rsid w:val="00696B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96BA5"/>
    <w:rPr>
      <w:i/>
      <w:iCs/>
      <w:color w:val="0F4761" w:themeColor="accent1" w:themeShade="BF"/>
    </w:rPr>
  </w:style>
  <w:style w:type="character" w:styleId="Odwoanieintensywne">
    <w:name w:val="Intense Reference"/>
    <w:basedOn w:val="Domylnaczcionkaakapitu"/>
    <w:uiPriority w:val="32"/>
    <w:qFormat/>
    <w:rsid w:val="00696BA5"/>
    <w:rPr>
      <w:b/>
      <w:bCs/>
      <w:smallCaps/>
      <w:color w:val="0F4761" w:themeColor="accent1" w:themeShade="BF"/>
      <w:spacing w:val="5"/>
    </w:rPr>
  </w:style>
  <w:style w:type="character" w:customStyle="1" w:styleId="header1">
    <w:name w:val="header1"/>
    <w:rsid w:val="00696BA5"/>
    <w:rPr>
      <w:rFonts w:ascii="Times New Roman" w:hAnsi="Times New Roman"/>
      <w:b/>
      <w:sz w:val="36"/>
    </w:rPr>
  </w:style>
  <w:style w:type="paragraph" w:styleId="Nagwek">
    <w:name w:val="header"/>
    <w:basedOn w:val="Normalny"/>
    <w:link w:val="NagwekZnak"/>
    <w:unhideWhenUsed/>
    <w:rsid w:val="00696B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6BA5"/>
    <w:rPr>
      <w:rFonts w:eastAsiaTheme="minorEastAsia"/>
      <w:kern w:val="0"/>
      <w:lang w:eastAsia="pl-PL"/>
      <w14:ligatures w14:val="none"/>
    </w:rPr>
  </w:style>
  <w:style w:type="paragraph" w:styleId="Stopka">
    <w:name w:val="footer"/>
    <w:basedOn w:val="Normalny"/>
    <w:link w:val="StopkaZnak"/>
    <w:uiPriority w:val="99"/>
    <w:unhideWhenUsed/>
    <w:rsid w:val="00696B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6BA5"/>
    <w:rPr>
      <w:rFonts w:eastAsiaTheme="minorEastAsia"/>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1779</Words>
  <Characters>10676</Characters>
  <Application>Microsoft Office Word</Application>
  <DocSecurity>0</DocSecurity>
  <Lines>88</Lines>
  <Paragraphs>24</Paragraphs>
  <ScaleCrop>false</ScaleCrop>
  <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Rzepiel Klaudia</dc:creator>
  <cp:keywords/>
  <dc:description/>
  <cp:lastModifiedBy>Rzepiel Klaudia</cp:lastModifiedBy>
  <cp:revision>2</cp:revision>
  <dcterms:created xsi:type="dcterms:W3CDTF">2025-11-14T12:05:00Z</dcterms:created>
  <dcterms:modified xsi:type="dcterms:W3CDTF">2025-11-14T12:13:00Z</dcterms:modified>
</cp:coreProperties>
</file>